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E173C" w14:textId="566BC2CB" w:rsidR="00F86771" w:rsidRDefault="00526BFA" w:rsidP="00F86771">
      <w:pPr>
        <w:spacing w:after="0"/>
        <w:jc w:val="center"/>
        <w:rPr>
          <w:sz w:val="32"/>
          <w:szCs w:val="32"/>
        </w:rPr>
      </w:pPr>
      <w:r>
        <w:rPr>
          <w:sz w:val="32"/>
          <w:szCs w:val="32"/>
        </w:rPr>
        <w:t>3</w:t>
      </w:r>
      <w:r w:rsidR="00F26E82">
        <w:rPr>
          <w:sz w:val="32"/>
          <w:szCs w:val="32"/>
        </w:rPr>
        <w:t>.</w:t>
      </w:r>
      <w:r>
        <w:rPr>
          <w:sz w:val="32"/>
          <w:szCs w:val="32"/>
        </w:rPr>
        <w:t>1</w:t>
      </w:r>
      <w:r w:rsidR="00F26E82">
        <w:rPr>
          <w:sz w:val="32"/>
          <w:szCs w:val="32"/>
        </w:rPr>
        <w:t xml:space="preserve"> </w:t>
      </w:r>
      <w:r>
        <w:rPr>
          <w:sz w:val="32"/>
          <w:szCs w:val="32"/>
        </w:rPr>
        <w:t>Issues in maintaining SBRs</w:t>
      </w:r>
    </w:p>
    <w:p w14:paraId="31EE1351" w14:textId="77777777" w:rsidR="00316216" w:rsidRPr="00F86771" w:rsidRDefault="008A4D63" w:rsidP="008A4D63">
      <w:pPr>
        <w:jc w:val="center"/>
        <w:rPr>
          <w:sz w:val="28"/>
          <w:szCs w:val="28"/>
        </w:rPr>
      </w:pPr>
      <w:r>
        <w:rPr>
          <w:sz w:val="28"/>
          <w:szCs w:val="28"/>
        </w:rPr>
        <w:t>Exercise</w:t>
      </w:r>
    </w:p>
    <w:p w14:paraId="1567DEF3" w14:textId="6028BC5B" w:rsidR="000847F8" w:rsidRPr="008D7138" w:rsidRDefault="008D7138" w:rsidP="007069B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r>
        <w:rPr>
          <w:rFonts w:ascii="Arial" w:hAnsi="Arial" w:cs="Arial"/>
          <w:color w:val="222222"/>
          <w:sz w:val="19"/>
          <w:szCs w:val="19"/>
          <w:shd w:val="clear" w:color="auto" w:fill="FFFFFF"/>
        </w:rPr>
        <w:t>Answer the following questions about</w:t>
      </w:r>
      <w:r w:rsidR="00526BFA">
        <w:rPr>
          <w:rFonts w:ascii="Arial" w:hAnsi="Arial" w:cs="Arial"/>
          <w:color w:val="222222"/>
          <w:sz w:val="19"/>
          <w:szCs w:val="19"/>
          <w:shd w:val="clear" w:color="auto" w:fill="FFFFFF"/>
        </w:rPr>
        <w:t xml:space="preserve"> IVA calculation and ISIC classification</w:t>
      </w:r>
    </w:p>
    <w:p w14:paraId="4CE0BF8E" w14:textId="77777777" w:rsidR="00315F63" w:rsidRDefault="00216D87" w:rsidP="00315F63">
      <w:pPr>
        <w:pStyle w:val="ListParagraph"/>
        <w:numPr>
          <w:ilvl w:val="0"/>
          <w:numId w:val="4"/>
        </w:numPr>
      </w:pPr>
      <w:r>
        <w:t>A media business provides</w:t>
      </w:r>
      <w:r w:rsidR="00315F63">
        <w:t xml:space="preserve"> the following information about </w:t>
      </w:r>
      <w:r>
        <w:t>their</w:t>
      </w:r>
      <w:r w:rsidR="00315F63">
        <w:t xml:space="preserve"> operations</w:t>
      </w:r>
      <w:r w:rsidR="00C552AC">
        <w:t xml:space="preserve"> in a year</w:t>
      </w:r>
      <w:r w:rsidR="00315F63">
        <w:t>:</w:t>
      </w:r>
    </w:p>
    <w:p w14:paraId="65219C07" w14:textId="77777777" w:rsidR="00315F63" w:rsidRDefault="00315F63" w:rsidP="00315F63">
      <w:pPr>
        <w:pStyle w:val="ListParagraph"/>
        <w:ind w:left="360"/>
      </w:pPr>
    </w:p>
    <w:tbl>
      <w:tblPr>
        <w:tblStyle w:val="TableGrid"/>
        <w:tblW w:w="859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4"/>
        <w:gridCol w:w="1089"/>
        <w:gridCol w:w="956"/>
        <w:gridCol w:w="1159"/>
        <w:gridCol w:w="1245"/>
        <w:gridCol w:w="1245"/>
        <w:gridCol w:w="1419"/>
      </w:tblGrid>
      <w:tr w:rsidR="00C575F5" w14:paraId="070EC74B" w14:textId="77777777" w:rsidTr="00C575F5">
        <w:tc>
          <w:tcPr>
            <w:tcW w:w="1484" w:type="dxa"/>
            <w:shd w:val="clear" w:color="auto" w:fill="D9D9D9" w:themeFill="background1" w:themeFillShade="D9"/>
          </w:tcPr>
          <w:p w14:paraId="556B9288" w14:textId="77777777" w:rsidR="00C575F5" w:rsidRPr="00C552AC" w:rsidRDefault="00C575F5" w:rsidP="00C575F5">
            <w:pPr>
              <w:pStyle w:val="ListParagraph"/>
              <w:ind w:left="0"/>
              <w:rPr>
                <w:sz w:val="20"/>
                <w:szCs w:val="20"/>
              </w:rPr>
            </w:pPr>
            <w:r w:rsidRPr="00C552AC">
              <w:rPr>
                <w:sz w:val="20"/>
                <w:szCs w:val="20"/>
              </w:rPr>
              <w:t>Activity</w:t>
            </w:r>
          </w:p>
        </w:tc>
        <w:tc>
          <w:tcPr>
            <w:tcW w:w="1089" w:type="dxa"/>
            <w:shd w:val="clear" w:color="auto" w:fill="D9D9D9" w:themeFill="background1" w:themeFillShade="D9"/>
          </w:tcPr>
          <w:p w14:paraId="1AE14B04" w14:textId="77777777" w:rsidR="00C575F5" w:rsidRPr="00C552AC" w:rsidRDefault="00C575F5" w:rsidP="00C575F5">
            <w:pPr>
              <w:pStyle w:val="ListParagraph"/>
              <w:ind w:left="0"/>
              <w:rPr>
                <w:sz w:val="20"/>
                <w:szCs w:val="20"/>
              </w:rPr>
            </w:pPr>
            <w:r w:rsidRPr="00C552AC">
              <w:rPr>
                <w:sz w:val="20"/>
                <w:szCs w:val="20"/>
              </w:rPr>
              <w:t>Staff headcount</w:t>
            </w:r>
          </w:p>
        </w:tc>
        <w:tc>
          <w:tcPr>
            <w:tcW w:w="956" w:type="dxa"/>
            <w:shd w:val="clear" w:color="auto" w:fill="D9D9D9" w:themeFill="background1" w:themeFillShade="D9"/>
          </w:tcPr>
          <w:p w14:paraId="5007A99A" w14:textId="77777777" w:rsidR="00C575F5" w:rsidRPr="00C552AC" w:rsidRDefault="00C575F5" w:rsidP="00C575F5">
            <w:pPr>
              <w:pStyle w:val="ListParagraph"/>
              <w:ind w:left="0"/>
              <w:rPr>
                <w:sz w:val="20"/>
                <w:szCs w:val="20"/>
              </w:rPr>
            </w:pPr>
            <w:r w:rsidRPr="00C552AC">
              <w:rPr>
                <w:sz w:val="20"/>
                <w:szCs w:val="20"/>
              </w:rPr>
              <w:t>Staff wages</w:t>
            </w:r>
          </w:p>
        </w:tc>
        <w:tc>
          <w:tcPr>
            <w:tcW w:w="1159" w:type="dxa"/>
            <w:shd w:val="clear" w:color="auto" w:fill="D9D9D9" w:themeFill="background1" w:themeFillShade="D9"/>
          </w:tcPr>
          <w:p w14:paraId="510247EB" w14:textId="77777777" w:rsidR="00C575F5" w:rsidRPr="00C552AC" w:rsidRDefault="00C575F5" w:rsidP="00C575F5">
            <w:pPr>
              <w:pStyle w:val="ListParagraph"/>
              <w:ind w:left="0"/>
              <w:rPr>
                <w:sz w:val="20"/>
                <w:szCs w:val="20"/>
              </w:rPr>
            </w:pPr>
            <w:r w:rsidRPr="00C552AC">
              <w:rPr>
                <w:sz w:val="20"/>
                <w:szCs w:val="20"/>
              </w:rPr>
              <w:t>Rental of office space</w:t>
            </w:r>
          </w:p>
        </w:tc>
        <w:tc>
          <w:tcPr>
            <w:tcW w:w="1245" w:type="dxa"/>
            <w:shd w:val="clear" w:color="auto" w:fill="D9D9D9" w:themeFill="background1" w:themeFillShade="D9"/>
          </w:tcPr>
          <w:p w14:paraId="5F8DED71" w14:textId="77777777" w:rsidR="00C575F5" w:rsidRPr="00C552AC" w:rsidRDefault="00C575F5" w:rsidP="00C575F5">
            <w:pPr>
              <w:pStyle w:val="ListParagraph"/>
              <w:ind w:left="0"/>
              <w:rPr>
                <w:sz w:val="20"/>
                <w:szCs w:val="20"/>
              </w:rPr>
            </w:pPr>
            <w:r>
              <w:rPr>
                <w:sz w:val="20"/>
                <w:szCs w:val="20"/>
              </w:rPr>
              <w:t>Other operating costs</w:t>
            </w:r>
          </w:p>
        </w:tc>
        <w:tc>
          <w:tcPr>
            <w:tcW w:w="1245" w:type="dxa"/>
            <w:shd w:val="clear" w:color="auto" w:fill="D9D9D9" w:themeFill="background1" w:themeFillShade="D9"/>
          </w:tcPr>
          <w:p w14:paraId="62DAF78B" w14:textId="77777777" w:rsidR="00C575F5" w:rsidRPr="00C552AC" w:rsidRDefault="00C575F5" w:rsidP="00C575F5">
            <w:pPr>
              <w:pStyle w:val="ListParagraph"/>
              <w:ind w:left="0"/>
              <w:rPr>
                <w:sz w:val="20"/>
                <w:szCs w:val="20"/>
              </w:rPr>
            </w:pPr>
            <w:r w:rsidRPr="00C552AC">
              <w:rPr>
                <w:sz w:val="20"/>
                <w:szCs w:val="20"/>
              </w:rPr>
              <w:t>Taxes paid</w:t>
            </w:r>
          </w:p>
        </w:tc>
        <w:tc>
          <w:tcPr>
            <w:tcW w:w="1419" w:type="dxa"/>
            <w:shd w:val="clear" w:color="auto" w:fill="D9D9D9" w:themeFill="background1" w:themeFillShade="D9"/>
          </w:tcPr>
          <w:p w14:paraId="05577421" w14:textId="77777777" w:rsidR="00C575F5" w:rsidRPr="00C552AC" w:rsidRDefault="00C575F5" w:rsidP="00C575F5">
            <w:pPr>
              <w:pStyle w:val="ListParagraph"/>
              <w:ind w:left="0"/>
              <w:rPr>
                <w:sz w:val="20"/>
                <w:szCs w:val="20"/>
              </w:rPr>
            </w:pPr>
            <w:r>
              <w:rPr>
                <w:sz w:val="20"/>
                <w:szCs w:val="20"/>
              </w:rPr>
              <w:t>Profit</w:t>
            </w:r>
          </w:p>
        </w:tc>
      </w:tr>
      <w:tr w:rsidR="00C575F5" w14:paraId="0FCDAF80" w14:textId="77777777" w:rsidTr="00C575F5">
        <w:tc>
          <w:tcPr>
            <w:tcW w:w="1484" w:type="dxa"/>
            <w:tcBorders>
              <w:bottom w:val="single" w:sz="4" w:space="0" w:color="BFBFBF" w:themeColor="background1" w:themeShade="BF"/>
            </w:tcBorders>
          </w:tcPr>
          <w:p w14:paraId="5D004FA7" w14:textId="77777777" w:rsidR="00C575F5" w:rsidRPr="00433AE3" w:rsidRDefault="00C575F5" w:rsidP="00C575F5">
            <w:pPr>
              <w:pStyle w:val="ListParagraph"/>
              <w:spacing w:before="60" w:after="60"/>
              <w:ind w:left="0"/>
              <w:rPr>
                <w:sz w:val="20"/>
                <w:szCs w:val="20"/>
              </w:rPr>
            </w:pPr>
            <w:r w:rsidRPr="00433AE3">
              <w:rPr>
                <w:sz w:val="20"/>
                <w:szCs w:val="20"/>
              </w:rPr>
              <w:t xml:space="preserve">Producing and broadcasting a local TV news </w:t>
            </w:r>
            <w:proofErr w:type="spellStart"/>
            <w:r w:rsidRPr="00433AE3">
              <w:rPr>
                <w:sz w:val="20"/>
                <w:szCs w:val="20"/>
              </w:rPr>
              <w:t>programme</w:t>
            </w:r>
            <w:proofErr w:type="spellEnd"/>
          </w:p>
        </w:tc>
        <w:tc>
          <w:tcPr>
            <w:tcW w:w="1089" w:type="dxa"/>
            <w:tcBorders>
              <w:bottom w:val="single" w:sz="4" w:space="0" w:color="BFBFBF" w:themeColor="background1" w:themeShade="BF"/>
            </w:tcBorders>
          </w:tcPr>
          <w:p w14:paraId="6FFC977A" w14:textId="0E881227" w:rsidR="00C575F5" w:rsidRPr="00433AE3" w:rsidRDefault="00526BFA" w:rsidP="00C575F5">
            <w:pPr>
              <w:pStyle w:val="ListParagraph"/>
              <w:spacing w:before="60" w:after="60"/>
              <w:ind w:left="0"/>
              <w:rPr>
                <w:sz w:val="20"/>
                <w:szCs w:val="20"/>
              </w:rPr>
            </w:pPr>
            <w:r>
              <w:rPr>
                <w:sz w:val="20"/>
                <w:szCs w:val="20"/>
              </w:rPr>
              <w:t>64</w:t>
            </w:r>
          </w:p>
        </w:tc>
        <w:tc>
          <w:tcPr>
            <w:tcW w:w="956" w:type="dxa"/>
            <w:tcBorders>
              <w:bottom w:val="single" w:sz="4" w:space="0" w:color="BFBFBF" w:themeColor="background1" w:themeShade="BF"/>
            </w:tcBorders>
          </w:tcPr>
          <w:p w14:paraId="484C0D0B" w14:textId="2EA720EA" w:rsidR="00C575F5" w:rsidRPr="00433AE3" w:rsidRDefault="00C575F5" w:rsidP="00C575F5">
            <w:pPr>
              <w:pStyle w:val="ListParagraph"/>
              <w:spacing w:before="60" w:after="60"/>
              <w:ind w:left="0"/>
              <w:rPr>
                <w:sz w:val="20"/>
                <w:szCs w:val="20"/>
              </w:rPr>
            </w:pPr>
            <w:r w:rsidRPr="00433AE3">
              <w:rPr>
                <w:sz w:val="20"/>
                <w:szCs w:val="20"/>
              </w:rPr>
              <w:t xml:space="preserve">€ </w:t>
            </w:r>
            <w:r w:rsidR="00526BFA">
              <w:rPr>
                <w:sz w:val="20"/>
                <w:szCs w:val="20"/>
              </w:rPr>
              <w:t>2</w:t>
            </w:r>
            <w:r w:rsidRPr="00433AE3">
              <w:rPr>
                <w:sz w:val="20"/>
                <w:szCs w:val="20"/>
              </w:rPr>
              <w:t>.</w:t>
            </w:r>
            <w:r w:rsidR="00526BFA">
              <w:rPr>
                <w:sz w:val="20"/>
                <w:szCs w:val="20"/>
              </w:rPr>
              <w:t>8</w:t>
            </w:r>
            <w:r w:rsidRPr="00433AE3">
              <w:rPr>
                <w:sz w:val="20"/>
                <w:szCs w:val="20"/>
              </w:rPr>
              <w:t xml:space="preserve"> million</w:t>
            </w:r>
          </w:p>
        </w:tc>
        <w:tc>
          <w:tcPr>
            <w:tcW w:w="1159" w:type="dxa"/>
            <w:tcBorders>
              <w:bottom w:val="single" w:sz="4" w:space="0" w:color="BFBFBF" w:themeColor="background1" w:themeShade="BF"/>
            </w:tcBorders>
          </w:tcPr>
          <w:p w14:paraId="289D443A" w14:textId="17E055BD" w:rsidR="00C575F5" w:rsidRPr="00433AE3" w:rsidRDefault="00C575F5" w:rsidP="00C575F5">
            <w:pPr>
              <w:pStyle w:val="ListParagraph"/>
              <w:spacing w:before="60" w:after="60"/>
              <w:ind w:left="0"/>
              <w:rPr>
                <w:sz w:val="20"/>
                <w:szCs w:val="20"/>
              </w:rPr>
            </w:pPr>
            <w:r w:rsidRPr="00433AE3">
              <w:rPr>
                <w:sz w:val="20"/>
                <w:szCs w:val="20"/>
              </w:rPr>
              <w:t xml:space="preserve">€ </w:t>
            </w:r>
            <w:r w:rsidR="00DD6C3A">
              <w:rPr>
                <w:sz w:val="20"/>
                <w:szCs w:val="20"/>
              </w:rPr>
              <w:t>2</w:t>
            </w:r>
            <w:r w:rsidRPr="00433AE3">
              <w:rPr>
                <w:sz w:val="20"/>
                <w:szCs w:val="20"/>
              </w:rPr>
              <w:t>.</w:t>
            </w:r>
            <w:r w:rsidR="00DD6C3A">
              <w:rPr>
                <w:sz w:val="20"/>
                <w:szCs w:val="20"/>
              </w:rPr>
              <w:t>4</w:t>
            </w:r>
            <w:r w:rsidRPr="00433AE3">
              <w:rPr>
                <w:sz w:val="20"/>
                <w:szCs w:val="20"/>
              </w:rPr>
              <w:t xml:space="preserve"> million</w:t>
            </w:r>
          </w:p>
        </w:tc>
        <w:tc>
          <w:tcPr>
            <w:tcW w:w="1245" w:type="dxa"/>
            <w:tcBorders>
              <w:bottom w:val="single" w:sz="4" w:space="0" w:color="BFBFBF" w:themeColor="background1" w:themeShade="BF"/>
            </w:tcBorders>
          </w:tcPr>
          <w:p w14:paraId="344F27C2" w14:textId="648A012E" w:rsidR="00C575F5" w:rsidRPr="00433AE3" w:rsidRDefault="00C575F5" w:rsidP="00C575F5">
            <w:pPr>
              <w:pStyle w:val="ListParagraph"/>
              <w:spacing w:before="60" w:after="60"/>
              <w:ind w:left="0"/>
              <w:rPr>
                <w:sz w:val="20"/>
                <w:szCs w:val="20"/>
              </w:rPr>
            </w:pPr>
            <w:r w:rsidRPr="00433AE3">
              <w:rPr>
                <w:sz w:val="20"/>
                <w:szCs w:val="20"/>
              </w:rPr>
              <w:t xml:space="preserve">€ </w:t>
            </w:r>
            <w:r w:rsidR="00DD6C3A">
              <w:rPr>
                <w:sz w:val="20"/>
                <w:szCs w:val="20"/>
              </w:rPr>
              <w:t>1</w:t>
            </w:r>
            <w:r w:rsidRPr="00433AE3">
              <w:rPr>
                <w:sz w:val="20"/>
                <w:szCs w:val="20"/>
              </w:rPr>
              <w:t>.</w:t>
            </w:r>
            <w:r w:rsidR="00DD6C3A">
              <w:rPr>
                <w:sz w:val="20"/>
                <w:szCs w:val="20"/>
              </w:rPr>
              <w:t>2</w:t>
            </w:r>
            <w:r w:rsidRPr="00433AE3">
              <w:rPr>
                <w:sz w:val="20"/>
                <w:szCs w:val="20"/>
              </w:rPr>
              <w:t xml:space="preserve"> million</w:t>
            </w:r>
          </w:p>
        </w:tc>
        <w:tc>
          <w:tcPr>
            <w:tcW w:w="1245" w:type="dxa"/>
            <w:tcBorders>
              <w:bottom w:val="single" w:sz="4" w:space="0" w:color="BFBFBF" w:themeColor="background1" w:themeShade="BF"/>
            </w:tcBorders>
          </w:tcPr>
          <w:p w14:paraId="5BB50A47" w14:textId="71D8FF0C" w:rsidR="00C575F5" w:rsidRPr="00433AE3" w:rsidRDefault="00C575F5" w:rsidP="00C575F5">
            <w:pPr>
              <w:pStyle w:val="ListParagraph"/>
              <w:spacing w:before="60" w:after="60"/>
              <w:ind w:left="0"/>
              <w:rPr>
                <w:sz w:val="20"/>
                <w:szCs w:val="20"/>
              </w:rPr>
            </w:pPr>
            <w:r w:rsidRPr="00433AE3">
              <w:rPr>
                <w:sz w:val="20"/>
                <w:szCs w:val="20"/>
              </w:rPr>
              <w:t>€ 0.</w:t>
            </w:r>
            <w:r w:rsidR="00DD6C3A">
              <w:rPr>
                <w:sz w:val="20"/>
                <w:szCs w:val="20"/>
              </w:rPr>
              <w:t>2</w:t>
            </w:r>
            <w:r w:rsidRPr="00433AE3">
              <w:rPr>
                <w:sz w:val="20"/>
                <w:szCs w:val="20"/>
              </w:rPr>
              <w:t xml:space="preserve"> million</w:t>
            </w:r>
          </w:p>
        </w:tc>
        <w:tc>
          <w:tcPr>
            <w:tcW w:w="1419" w:type="dxa"/>
            <w:tcBorders>
              <w:bottom w:val="single" w:sz="4" w:space="0" w:color="BFBFBF" w:themeColor="background1" w:themeShade="BF"/>
            </w:tcBorders>
          </w:tcPr>
          <w:p w14:paraId="4B58269A" w14:textId="7845D1E3" w:rsidR="00C575F5" w:rsidRPr="00433AE3" w:rsidRDefault="00C575F5" w:rsidP="00C575F5">
            <w:pPr>
              <w:pStyle w:val="ListParagraph"/>
              <w:spacing w:before="60" w:after="60"/>
              <w:ind w:left="0"/>
              <w:rPr>
                <w:sz w:val="20"/>
                <w:szCs w:val="20"/>
              </w:rPr>
            </w:pPr>
            <w:r w:rsidRPr="00433AE3">
              <w:rPr>
                <w:sz w:val="20"/>
                <w:szCs w:val="20"/>
              </w:rPr>
              <w:t>€ 0.</w:t>
            </w:r>
            <w:r w:rsidR="00DD6C3A">
              <w:rPr>
                <w:sz w:val="20"/>
                <w:szCs w:val="20"/>
              </w:rPr>
              <w:t>8</w:t>
            </w:r>
            <w:r w:rsidRPr="00433AE3">
              <w:rPr>
                <w:sz w:val="20"/>
                <w:szCs w:val="20"/>
              </w:rPr>
              <w:t xml:space="preserve"> million</w:t>
            </w:r>
          </w:p>
        </w:tc>
      </w:tr>
      <w:tr w:rsidR="00C575F5" w14:paraId="7C898F31" w14:textId="77777777" w:rsidTr="00C575F5">
        <w:tc>
          <w:tcPr>
            <w:tcW w:w="1484" w:type="dxa"/>
            <w:tcBorders>
              <w:top w:val="single" w:sz="4" w:space="0" w:color="BFBFBF" w:themeColor="background1" w:themeShade="BF"/>
              <w:bottom w:val="single" w:sz="4" w:space="0" w:color="BFBFBF" w:themeColor="background1" w:themeShade="BF"/>
            </w:tcBorders>
          </w:tcPr>
          <w:p w14:paraId="60D274E6" w14:textId="77777777" w:rsidR="00C575F5" w:rsidRPr="00433AE3" w:rsidRDefault="00C575F5" w:rsidP="00C575F5">
            <w:pPr>
              <w:pStyle w:val="ListParagraph"/>
              <w:spacing w:before="60" w:after="60"/>
              <w:ind w:left="0"/>
              <w:rPr>
                <w:sz w:val="20"/>
                <w:szCs w:val="20"/>
              </w:rPr>
            </w:pPr>
            <w:r w:rsidRPr="00433AE3">
              <w:rPr>
                <w:sz w:val="20"/>
                <w:szCs w:val="20"/>
              </w:rPr>
              <w:t xml:space="preserve">Publishing a </w:t>
            </w:r>
            <w:r>
              <w:rPr>
                <w:sz w:val="20"/>
                <w:szCs w:val="20"/>
              </w:rPr>
              <w:t>month</w:t>
            </w:r>
            <w:r w:rsidRPr="00433AE3">
              <w:rPr>
                <w:sz w:val="20"/>
                <w:szCs w:val="20"/>
              </w:rPr>
              <w:t>ly magazine</w:t>
            </w:r>
          </w:p>
        </w:tc>
        <w:tc>
          <w:tcPr>
            <w:tcW w:w="1089" w:type="dxa"/>
            <w:tcBorders>
              <w:top w:val="single" w:sz="4" w:space="0" w:color="BFBFBF" w:themeColor="background1" w:themeShade="BF"/>
              <w:bottom w:val="single" w:sz="4" w:space="0" w:color="BFBFBF" w:themeColor="background1" w:themeShade="BF"/>
            </w:tcBorders>
          </w:tcPr>
          <w:p w14:paraId="04DB8CA0" w14:textId="5714A25B" w:rsidR="00C575F5" w:rsidRPr="00433AE3" w:rsidRDefault="00526BFA" w:rsidP="00C575F5">
            <w:pPr>
              <w:pStyle w:val="ListParagraph"/>
              <w:spacing w:before="60" w:after="60"/>
              <w:ind w:left="0"/>
              <w:rPr>
                <w:sz w:val="20"/>
                <w:szCs w:val="20"/>
              </w:rPr>
            </w:pPr>
            <w:r>
              <w:rPr>
                <w:sz w:val="20"/>
                <w:szCs w:val="20"/>
              </w:rPr>
              <w:t>38</w:t>
            </w:r>
          </w:p>
        </w:tc>
        <w:tc>
          <w:tcPr>
            <w:tcW w:w="956" w:type="dxa"/>
            <w:tcBorders>
              <w:top w:val="single" w:sz="4" w:space="0" w:color="BFBFBF" w:themeColor="background1" w:themeShade="BF"/>
              <w:bottom w:val="single" w:sz="4" w:space="0" w:color="BFBFBF" w:themeColor="background1" w:themeShade="BF"/>
            </w:tcBorders>
          </w:tcPr>
          <w:p w14:paraId="75AE8D45" w14:textId="52C7DE86" w:rsidR="00C575F5" w:rsidRPr="00433AE3" w:rsidRDefault="00C575F5" w:rsidP="00C575F5">
            <w:pPr>
              <w:pStyle w:val="ListParagraph"/>
              <w:spacing w:before="60" w:after="60"/>
              <w:ind w:left="0"/>
              <w:rPr>
                <w:sz w:val="20"/>
                <w:szCs w:val="20"/>
              </w:rPr>
            </w:pPr>
            <w:r w:rsidRPr="00433AE3">
              <w:rPr>
                <w:sz w:val="20"/>
                <w:szCs w:val="20"/>
              </w:rPr>
              <w:t xml:space="preserve">€ </w:t>
            </w:r>
            <w:r w:rsidR="00526BFA">
              <w:rPr>
                <w:sz w:val="20"/>
                <w:szCs w:val="20"/>
              </w:rPr>
              <w:t>1</w:t>
            </w:r>
            <w:r w:rsidRPr="00433AE3">
              <w:rPr>
                <w:sz w:val="20"/>
                <w:szCs w:val="20"/>
              </w:rPr>
              <w:t>.</w:t>
            </w:r>
            <w:r w:rsidR="00526BFA">
              <w:rPr>
                <w:sz w:val="20"/>
                <w:szCs w:val="20"/>
              </w:rPr>
              <w:t>8</w:t>
            </w:r>
            <w:r w:rsidRPr="00433AE3">
              <w:rPr>
                <w:sz w:val="20"/>
                <w:szCs w:val="20"/>
              </w:rPr>
              <w:t xml:space="preserve"> million</w:t>
            </w:r>
          </w:p>
        </w:tc>
        <w:tc>
          <w:tcPr>
            <w:tcW w:w="1159" w:type="dxa"/>
            <w:tcBorders>
              <w:top w:val="single" w:sz="4" w:space="0" w:color="BFBFBF" w:themeColor="background1" w:themeShade="BF"/>
              <w:bottom w:val="single" w:sz="4" w:space="0" w:color="BFBFBF" w:themeColor="background1" w:themeShade="BF"/>
            </w:tcBorders>
          </w:tcPr>
          <w:p w14:paraId="446E8448" w14:textId="61057A6E" w:rsidR="00C575F5" w:rsidRPr="00433AE3" w:rsidRDefault="00C575F5" w:rsidP="00C575F5">
            <w:pPr>
              <w:pStyle w:val="ListParagraph"/>
              <w:spacing w:before="60" w:after="60"/>
              <w:ind w:left="0"/>
              <w:rPr>
                <w:sz w:val="20"/>
                <w:szCs w:val="20"/>
              </w:rPr>
            </w:pPr>
            <w:r w:rsidRPr="00433AE3">
              <w:rPr>
                <w:sz w:val="20"/>
                <w:szCs w:val="20"/>
              </w:rPr>
              <w:t xml:space="preserve">€ </w:t>
            </w:r>
            <w:r w:rsidR="00DD6C3A">
              <w:rPr>
                <w:sz w:val="20"/>
                <w:szCs w:val="20"/>
              </w:rPr>
              <w:t>1</w:t>
            </w:r>
            <w:r w:rsidRPr="00433AE3">
              <w:rPr>
                <w:sz w:val="20"/>
                <w:szCs w:val="20"/>
              </w:rPr>
              <w:t>.</w:t>
            </w:r>
            <w:r w:rsidR="00DD6C3A">
              <w:rPr>
                <w:sz w:val="20"/>
                <w:szCs w:val="20"/>
              </w:rPr>
              <w:t>2</w:t>
            </w:r>
            <w:r w:rsidRPr="00433AE3">
              <w:rPr>
                <w:sz w:val="20"/>
                <w:szCs w:val="20"/>
              </w:rPr>
              <w:t xml:space="preserve"> million</w:t>
            </w:r>
          </w:p>
        </w:tc>
        <w:tc>
          <w:tcPr>
            <w:tcW w:w="1245" w:type="dxa"/>
            <w:tcBorders>
              <w:top w:val="single" w:sz="4" w:space="0" w:color="BFBFBF" w:themeColor="background1" w:themeShade="BF"/>
              <w:bottom w:val="single" w:sz="4" w:space="0" w:color="BFBFBF" w:themeColor="background1" w:themeShade="BF"/>
            </w:tcBorders>
          </w:tcPr>
          <w:p w14:paraId="5ED58D81" w14:textId="0F7C81E1" w:rsidR="00C575F5" w:rsidRPr="00433AE3" w:rsidRDefault="00C575F5" w:rsidP="00C575F5">
            <w:pPr>
              <w:pStyle w:val="ListParagraph"/>
              <w:spacing w:before="60" w:after="60"/>
              <w:ind w:left="0"/>
              <w:rPr>
                <w:sz w:val="20"/>
                <w:szCs w:val="20"/>
              </w:rPr>
            </w:pPr>
            <w:r w:rsidRPr="00433AE3">
              <w:rPr>
                <w:sz w:val="20"/>
                <w:szCs w:val="20"/>
              </w:rPr>
              <w:t>€ 0.</w:t>
            </w:r>
            <w:r w:rsidR="00DD6C3A">
              <w:rPr>
                <w:sz w:val="20"/>
                <w:szCs w:val="20"/>
              </w:rPr>
              <w:t>4</w:t>
            </w:r>
            <w:r w:rsidRPr="00433AE3">
              <w:rPr>
                <w:sz w:val="20"/>
                <w:szCs w:val="20"/>
              </w:rPr>
              <w:t xml:space="preserve"> million</w:t>
            </w:r>
          </w:p>
        </w:tc>
        <w:tc>
          <w:tcPr>
            <w:tcW w:w="1245" w:type="dxa"/>
            <w:tcBorders>
              <w:top w:val="single" w:sz="4" w:space="0" w:color="BFBFBF" w:themeColor="background1" w:themeShade="BF"/>
              <w:bottom w:val="single" w:sz="4" w:space="0" w:color="BFBFBF" w:themeColor="background1" w:themeShade="BF"/>
            </w:tcBorders>
          </w:tcPr>
          <w:p w14:paraId="41A2756A" w14:textId="31B858D1" w:rsidR="00C575F5" w:rsidRPr="00433AE3" w:rsidRDefault="00C575F5" w:rsidP="00C575F5">
            <w:pPr>
              <w:pStyle w:val="ListParagraph"/>
              <w:spacing w:before="60" w:after="60"/>
              <w:ind w:left="0"/>
              <w:rPr>
                <w:sz w:val="20"/>
                <w:szCs w:val="20"/>
              </w:rPr>
            </w:pPr>
            <w:r w:rsidRPr="00433AE3">
              <w:rPr>
                <w:sz w:val="20"/>
                <w:szCs w:val="20"/>
              </w:rPr>
              <w:t xml:space="preserve">€ </w:t>
            </w:r>
            <w:r w:rsidR="00DD6C3A">
              <w:rPr>
                <w:sz w:val="20"/>
                <w:szCs w:val="20"/>
              </w:rPr>
              <w:t>6</w:t>
            </w:r>
            <w:r>
              <w:rPr>
                <w:sz w:val="20"/>
                <w:szCs w:val="20"/>
              </w:rPr>
              <w:t>0,000</w:t>
            </w:r>
          </w:p>
        </w:tc>
        <w:tc>
          <w:tcPr>
            <w:tcW w:w="1419" w:type="dxa"/>
            <w:tcBorders>
              <w:top w:val="single" w:sz="4" w:space="0" w:color="BFBFBF" w:themeColor="background1" w:themeShade="BF"/>
              <w:bottom w:val="single" w:sz="4" w:space="0" w:color="BFBFBF" w:themeColor="background1" w:themeShade="BF"/>
            </w:tcBorders>
          </w:tcPr>
          <w:p w14:paraId="107F3E66" w14:textId="530ACAD9" w:rsidR="00C575F5" w:rsidRPr="00433AE3" w:rsidRDefault="00C575F5" w:rsidP="00C575F5">
            <w:pPr>
              <w:pStyle w:val="ListParagraph"/>
              <w:spacing w:before="60" w:after="60"/>
              <w:ind w:left="0"/>
              <w:rPr>
                <w:sz w:val="20"/>
                <w:szCs w:val="20"/>
              </w:rPr>
            </w:pPr>
            <w:r w:rsidRPr="00433AE3">
              <w:rPr>
                <w:sz w:val="20"/>
                <w:szCs w:val="20"/>
              </w:rPr>
              <w:t>€ 0.</w:t>
            </w:r>
            <w:r w:rsidR="00DD6C3A">
              <w:rPr>
                <w:sz w:val="20"/>
                <w:szCs w:val="20"/>
              </w:rPr>
              <w:t>2</w:t>
            </w:r>
            <w:r w:rsidRPr="00433AE3">
              <w:rPr>
                <w:sz w:val="20"/>
                <w:szCs w:val="20"/>
              </w:rPr>
              <w:t xml:space="preserve"> million</w:t>
            </w:r>
          </w:p>
        </w:tc>
      </w:tr>
      <w:tr w:rsidR="00C575F5" w14:paraId="3D9ABEAE" w14:textId="77777777" w:rsidTr="00C575F5">
        <w:tc>
          <w:tcPr>
            <w:tcW w:w="1484" w:type="dxa"/>
            <w:tcBorders>
              <w:top w:val="single" w:sz="4" w:space="0" w:color="BFBFBF" w:themeColor="background1" w:themeShade="BF"/>
              <w:bottom w:val="single" w:sz="4" w:space="0" w:color="BFBFBF" w:themeColor="background1" w:themeShade="BF"/>
            </w:tcBorders>
          </w:tcPr>
          <w:p w14:paraId="44473739" w14:textId="77777777" w:rsidR="00C575F5" w:rsidRPr="00433AE3" w:rsidRDefault="00C575F5" w:rsidP="00C575F5">
            <w:pPr>
              <w:pStyle w:val="ListParagraph"/>
              <w:spacing w:before="60" w:after="60"/>
              <w:ind w:left="0"/>
              <w:rPr>
                <w:sz w:val="20"/>
                <w:szCs w:val="20"/>
              </w:rPr>
            </w:pPr>
            <w:r w:rsidRPr="00433AE3">
              <w:rPr>
                <w:sz w:val="20"/>
                <w:szCs w:val="20"/>
              </w:rPr>
              <w:t>Producing a political podcast</w:t>
            </w:r>
          </w:p>
        </w:tc>
        <w:tc>
          <w:tcPr>
            <w:tcW w:w="1089" w:type="dxa"/>
            <w:tcBorders>
              <w:top w:val="single" w:sz="4" w:space="0" w:color="BFBFBF" w:themeColor="background1" w:themeShade="BF"/>
              <w:bottom w:val="single" w:sz="4" w:space="0" w:color="BFBFBF" w:themeColor="background1" w:themeShade="BF"/>
            </w:tcBorders>
          </w:tcPr>
          <w:p w14:paraId="7B1E5940" w14:textId="7916239B" w:rsidR="00C575F5" w:rsidRPr="00433AE3" w:rsidRDefault="00526BFA" w:rsidP="00C575F5">
            <w:pPr>
              <w:pStyle w:val="ListParagraph"/>
              <w:spacing w:before="60" w:after="60"/>
              <w:ind w:left="0"/>
              <w:rPr>
                <w:sz w:val="20"/>
                <w:szCs w:val="20"/>
              </w:rPr>
            </w:pPr>
            <w:r>
              <w:rPr>
                <w:sz w:val="20"/>
                <w:szCs w:val="20"/>
              </w:rPr>
              <w:t>6</w:t>
            </w:r>
          </w:p>
        </w:tc>
        <w:tc>
          <w:tcPr>
            <w:tcW w:w="956" w:type="dxa"/>
            <w:tcBorders>
              <w:top w:val="single" w:sz="4" w:space="0" w:color="BFBFBF" w:themeColor="background1" w:themeShade="BF"/>
              <w:bottom w:val="single" w:sz="4" w:space="0" w:color="BFBFBF" w:themeColor="background1" w:themeShade="BF"/>
            </w:tcBorders>
          </w:tcPr>
          <w:p w14:paraId="5652DA65" w14:textId="5EADE54E" w:rsidR="00C575F5" w:rsidRPr="00433AE3" w:rsidRDefault="00C575F5" w:rsidP="00C575F5">
            <w:pPr>
              <w:pStyle w:val="ListParagraph"/>
              <w:spacing w:before="60" w:after="60"/>
              <w:ind w:left="0"/>
              <w:rPr>
                <w:sz w:val="20"/>
                <w:szCs w:val="20"/>
              </w:rPr>
            </w:pPr>
            <w:r w:rsidRPr="00433AE3">
              <w:rPr>
                <w:sz w:val="20"/>
                <w:szCs w:val="20"/>
              </w:rPr>
              <w:t>€ 0.</w:t>
            </w:r>
            <w:r w:rsidR="00526BFA">
              <w:rPr>
                <w:sz w:val="20"/>
                <w:szCs w:val="20"/>
              </w:rPr>
              <w:t>3</w:t>
            </w:r>
            <w:r w:rsidRPr="00433AE3">
              <w:rPr>
                <w:sz w:val="20"/>
                <w:szCs w:val="20"/>
              </w:rPr>
              <w:t xml:space="preserve"> million</w:t>
            </w:r>
          </w:p>
        </w:tc>
        <w:tc>
          <w:tcPr>
            <w:tcW w:w="1159" w:type="dxa"/>
            <w:tcBorders>
              <w:top w:val="single" w:sz="4" w:space="0" w:color="BFBFBF" w:themeColor="background1" w:themeShade="BF"/>
              <w:bottom w:val="single" w:sz="4" w:space="0" w:color="BFBFBF" w:themeColor="background1" w:themeShade="BF"/>
            </w:tcBorders>
          </w:tcPr>
          <w:p w14:paraId="43912F21" w14:textId="77777777" w:rsidR="00C575F5" w:rsidRPr="00433AE3" w:rsidRDefault="00C575F5" w:rsidP="00C575F5">
            <w:pPr>
              <w:pStyle w:val="ListParagraph"/>
              <w:spacing w:before="60" w:after="60"/>
              <w:ind w:left="0"/>
              <w:rPr>
                <w:sz w:val="20"/>
                <w:szCs w:val="20"/>
              </w:rPr>
            </w:pPr>
            <w:r w:rsidRPr="00433AE3">
              <w:rPr>
                <w:sz w:val="20"/>
                <w:szCs w:val="20"/>
              </w:rPr>
              <w:t>€ 45,000</w:t>
            </w:r>
          </w:p>
        </w:tc>
        <w:tc>
          <w:tcPr>
            <w:tcW w:w="1245" w:type="dxa"/>
            <w:tcBorders>
              <w:top w:val="single" w:sz="4" w:space="0" w:color="BFBFBF" w:themeColor="background1" w:themeShade="BF"/>
              <w:bottom w:val="single" w:sz="4" w:space="0" w:color="BFBFBF" w:themeColor="background1" w:themeShade="BF"/>
            </w:tcBorders>
          </w:tcPr>
          <w:p w14:paraId="33C9E80B" w14:textId="77777777" w:rsidR="00C575F5" w:rsidRPr="00433AE3" w:rsidRDefault="00C575F5" w:rsidP="00C575F5">
            <w:pPr>
              <w:pStyle w:val="ListParagraph"/>
              <w:spacing w:before="60" w:after="60"/>
              <w:ind w:left="0"/>
              <w:rPr>
                <w:sz w:val="20"/>
                <w:szCs w:val="20"/>
              </w:rPr>
            </w:pPr>
            <w:r w:rsidRPr="00433AE3">
              <w:rPr>
                <w:sz w:val="20"/>
                <w:szCs w:val="20"/>
              </w:rPr>
              <w:t>€ 40,000</w:t>
            </w:r>
          </w:p>
        </w:tc>
        <w:tc>
          <w:tcPr>
            <w:tcW w:w="1245" w:type="dxa"/>
            <w:tcBorders>
              <w:top w:val="single" w:sz="4" w:space="0" w:color="BFBFBF" w:themeColor="background1" w:themeShade="BF"/>
              <w:bottom w:val="single" w:sz="4" w:space="0" w:color="BFBFBF" w:themeColor="background1" w:themeShade="BF"/>
            </w:tcBorders>
          </w:tcPr>
          <w:p w14:paraId="63D7CCC7" w14:textId="51ECFE9C" w:rsidR="00C575F5" w:rsidRPr="00433AE3" w:rsidRDefault="00C575F5" w:rsidP="00C575F5">
            <w:pPr>
              <w:pStyle w:val="ListParagraph"/>
              <w:spacing w:before="60" w:after="60"/>
              <w:ind w:left="0"/>
              <w:rPr>
                <w:sz w:val="20"/>
                <w:szCs w:val="20"/>
              </w:rPr>
            </w:pPr>
            <w:r w:rsidRPr="00433AE3">
              <w:rPr>
                <w:sz w:val="20"/>
                <w:szCs w:val="20"/>
              </w:rPr>
              <w:t xml:space="preserve">€ </w:t>
            </w:r>
            <w:r w:rsidR="00DD6C3A">
              <w:rPr>
                <w:sz w:val="20"/>
                <w:szCs w:val="20"/>
              </w:rPr>
              <w:t>75</w:t>
            </w:r>
            <w:r>
              <w:rPr>
                <w:sz w:val="20"/>
                <w:szCs w:val="20"/>
              </w:rPr>
              <w:t>,000</w:t>
            </w:r>
          </w:p>
        </w:tc>
        <w:tc>
          <w:tcPr>
            <w:tcW w:w="1419" w:type="dxa"/>
            <w:tcBorders>
              <w:top w:val="single" w:sz="4" w:space="0" w:color="BFBFBF" w:themeColor="background1" w:themeShade="BF"/>
              <w:bottom w:val="single" w:sz="4" w:space="0" w:color="BFBFBF" w:themeColor="background1" w:themeShade="BF"/>
            </w:tcBorders>
          </w:tcPr>
          <w:p w14:paraId="68D7E5E0" w14:textId="2C191341" w:rsidR="00C575F5" w:rsidRPr="00433AE3" w:rsidRDefault="00C575F5" w:rsidP="00C575F5">
            <w:pPr>
              <w:pStyle w:val="ListParagraph"/>
              <w:spacing w:before="60" w:after="60"/>
              <w:ind w:left="0"/>
              <w:rPr>
                <w:sz w:val="20"/>
                <w:szCs w:val="20"/>
              </w:rPr>
            </w:pPr>
            <w:r w:rsidRPr="00433AE3">
              <w:rPr>
                <w:sz w:val="20"/>
                <w:szCs w:val="20"/>
              </w:rPr>
              <w:t xml:space="preserve">€ </w:t>
            </w:r>
            <w:r>
              <w:rPr>
                <w:sz w:val="20"/>
                <w:szCs w:val="20"/>
              </w:rPr>
              <w:t>0.</w:t>
            </w:r>
            <w:r w:rsidR="00526BFA">
              <w:rPr>
                <w:sz w:val="20"/>
                <w:szCs w:val="20"/>
              </w:rPr>
              <w:t>3</w:t>
            </w:r>
            <w:r w:rsidRPr="00433AE3">
              <w:rPr>
                <w:sz w:val="20"/>
                <w:szCs w:val="20"/>
              </w:rPr>
              <w:t xml:space="preserve"> million</w:t>
            </w:r>
          </w:p>
        </w:tc>
      </w:tr>
    </w:tbl>
    <w:p w14:paraId="74920029" w14:textId="77777777" w:rsidR="00315F63" w:rsidRDefault="00315F63" w:rsidP="008D7138"/>
    <w:p w14:paraId="201D14C4" w14:textId="77777777" w:rsidR="00315F63" w:rsidRDefault="00101B75" w:rsidP="00315F63">
      <w:pPr>
        <w:pStyle w:val="ListParagraph"/>
        <w:numPr>
          <w:ilvl w:val="1"/>
          <w:numId w:val="4"/>
        </w:numPr>
      </w:pPr>
      <w:r>
        <w:t>Using value added, w</w:t>
      </w:r>
      <w:r w:rsidR="00315F63">
        <w:t>hat should be the</w:t>
      </w:r>
      <w:r w:rsidR="00334537">
        <w:t xml:space="preserve"> 3-digit</w:t>
      </w:r>
      <w:r w:rsidR="00315F63">
        <w:t xml:space="preserve"> ISIC code for </w:t>
      </w:r>
      <w:r w:rsidR="00216D87">
        <w:t>the business’s</w:t>
      </w:r>
      <w:r w:rsidR="00315F63">
        <w:t xml:space="preserve"> primary activity?</w:t>
      </w:r>
    </w:p>
    <w:p w14:paraId="16B25E06" w14:textId="77777777" w:rsidR="00315F63" w:rsidRDefault="00315F63" w:rsidP="00315F63">
      <w:pPr>
        <w:pStyle w:val="ListParagraph"/>
        <w:ind w:left="1080"/>
      </w:pPr>
    </w:p>
    <w:p w14:paraId="53CDD635" w14:textId="77777777" w:rsidR="00315F63" w:rsidRDefault="00315F63" w:rsidP="00315F63">
      <w:pPr>
        <w:pStyle w:val="ListParagraph"/>
        <w:ind w:left="1080"/>
      </w:pPr>
    </w:p>
    <w:p w14:paraId="1A9F9AC7" w14:textId="77777777" w:rsidR="008F3CC6" w:rsidRDefault="008F3CC6" w:rsidP="00315F63">
      <w:pPr>
        <w:pStyle w:val="ListParagraph"/>
        <w:ind w:left="1080"/>
      </w:pPr>
    </w:p>
    <w:p w14:paraId="780190DE" w14:textId="77777777" w:rsidR="008F3CC6" w:rsidRDefault="008F3CC6" w:rsidP="00315F63">
      <w:pPr>
        <w:pStyle w:val="ListParagraph"/>
        <w:ind w:left="1080"/>
      </w:pPr>
    </w:p>
    <w:p w14:paraId="6F1F86E9" w14:textId="77777777" w:rsidR="008F3CC6" w:rsidRDefault="008F3CC6" w:rsidP="00315F63">
      <w:pPr>
        <w:pStyle w:val="ListParagraph"/>
        <w:ind w:left="1080"/>
      </w:pPr>
    </w:p>
    <w:p w14:paraId="27879900" w14:textId="77777777" w:rsidR="008F3CC6" w:rsidRDefault="008F3CC6" w:rsidP="00315F63">
      <w:pPr>
        <w:pStyle w:val="ListParagraph"/>
        <w:ind w:left="1080"/>
      </w:pPr>
    </w:p>
    <w:p w14:paraId="18054E53" w14:textId="77777777" w:rsidR="008F3CC6" w:rsidRDefault="008F3CC6" w:rsidP="00315F63">
      <w:pPr>
        <w:pStyle w:val="ListParagraph"/>
        <w:ind w:left="1080"/>
      </w:pPr>
    </w:p>
    <w:p w14:paraId="1E9A77E8" w14:textId="77777777" w:rsidR="00315F63" w:rsidRDefault="00101B75" w:rsidP="00315F63">
      <w:pPr>
        <w:pStyle w:val="ListParagraph"/>
        <w:numPr>
          <w:ilvl w:val="1"/>
          <w:numId w:val="4"/>
        </w:numPr>
      </w:pPr>
      <w:r>
        <w:t>Using value added, w</w:t>
      </w:r>
      <w:r w:rsidR="00315F63">
        <w:t>hat should be the</w:t>
      </w:r>
      <w:r w:rsidR="00334537">
        <w:t xml:space="preserve"> 3-digit</w:t>
      </w:r>
      <w:r w:rsidR="00315F63">
        <w:t xml:space="preserve"> ISIC code for </w:t>
      </w:r>
      <w:r w:rsidR="00216D87">
        <w:t>the business’s</w:t>
      </w:r>
      <w:r w:rsidR="00315F63">
        <w:t xml:space="preserve"> secondary activity?</w:t>
      </w:r>
    </w:p>
    <w:p w14:paraId="26F6CA23" w14:textId="77777777" w:rsidR="00334537" w:rsidRDefault="00334537" w:rsidP="00334537">
      <w:pPr>
        <w:pStyle w:val="ListParagraph"/>
        <w:ind w:left="1080"/>
        <w:rPr>
          <w:rFonts w:cstheme="minorHAnsi"/>
          <w:color w:val="000000"/>
          <w:sz w:val="20"/>
          <w:szCs w:val="20"/>
        </w:rPr>
      </w:pPr>
    </w:p>
    <w:p w14:paraId="64B565CC" w14:textId="77777777" w:rsidR="008F3CC6" w:rsidRDefault="008F3CC6" w:rsidP="00334537">
      <w:pPr>
        <w:pStyle w:val="ListParagraph"/>
        <w:ind w:left="1080"/>
        <w:rPr>
          <w:rFonts w:cstheme="minorHAnsi"/>
          <w:color w:val="000000"/>
          <w:sz w:val="20"/>
          <w:szCs w:val="20"/>
        </w:rPr>
      </w:pPr>
    </w:p>
    <w:p w14:paraId="1E0F2F15" w14:textId="77777777" w:rsidR="008F3CC6" w:rsidRDefault="008F3CC6" w:rsidP="00334537">
      <w:pPr>
        <w:pStyle w:val="ListParagraph"/>
        <w:ind w:left="1080"/>
        <w:rPr>
          <w:rFonts w:cstheme="minorHAnsi"/>
          <w:color w:val="000000"/>
          <w:sz w:val="20"/>
          <w:szCs w:val="20"/>
        </w:rPr>
      </w:pPr>
    </w:p>
    <w:p w14:paraId="478E08A7" w14:textId="77777777" w:rsidR="008F3CC6" w:rsidRDefault="008F3CC6" w:rsidP="00334537">
      <w:pPr>
        <w:pStyle w:val="ListParagraph"/>
        <w:ind w:left="1080"/>
        <w:rPr>
          <w:rFonts w:cstheme="minorHAnsi"/>
          <w:color w:val="000000"/>
          <w:sz w:val="20"/>
          <w:szCs w:val="20"/>
        </w:rPr>
      </w:pPr>
    </w:p>
    <w:p w14:paraId="2EEEC835" w14:textId="77777777" w:rsidR="008F3CC6" w:rsidRDefault="008F3CC6" w:rsidP="00334537">
      <w:pPr>
        <w:pStyle w:val="ListParagraph"/>
        <w:ind w:left="1080"/>
      </w:pPr>
    </w:p>
    <w:p w14:paraId="1983756B" w14:textId="77777777" w:rsidR="008F3CC6" w:rsidRDefault="008F3CC6" w:rsidP="00334537">
      <w:pPr>
        <w:pStyle w:val="ListParagraph"/>
        <w:ind w:left="1080"/>
      </w:pPr>
    </w:p>
    <w:p w14:paraId="633C4D61" w14:textId="77777777" w:rsidR="00334537" w:rsidRDefault="00334537" w:rsidP="00315F63">
      <w:pPr>
        <w:pStyle w:val="ListParagraph"/>
        <w:numPr>
          <w:ilvl w:val="1"/>
          <w:numId w:val="4"/>
        </w:numPr>
      </w:pPr>
      <w:r>
        <w:t>If you only had access to turnover for the business, would its primary and secondary ISIC codes change?</w:t>
      </w:r>
    </w:p>
    <w:p w14:paraId="1B717555" w14:textId="77777777" w:rsidR="00BE4E25" w:rsidRDefault="00BE4E25" w:rsidP="00BE4E25">
      <w:pPr>
        <w:pStyle w:val="ListParagraph"/>
        <w:ind w:left="1080"/>
      </w:pPr>
    </w:p>
    <w:p w14:paraId="6AAEF15A" w14:textId="77777777" w:rsidR="008D7138" w:rsidRDefault="008D7138" w:rsidP="008D7138">
      <w:pPr>
        <w:rPr>
          <w:b/>
          <w:bCs/>
          <w:lang w:val="en"/>
        </w:rPr>
      </w:pPr>
    </w:p>
    <w:p w14:paraId="546E01BB" w14:textId="77777777" w:rsidR="008F3CC6" w:rsidRPr="008D7138" w:rsidRDefault="008F3CC6" w:rsidP="008D7138">
      <w:pPr>
        <w:rPr>
          <w:b/>
          <w:bCs/>
          <w:lang w:val="en"/>
        </w:rPr>
      </w:pPr>
    </w:p>
    <w:p w14:paraId="1B453C53" w14:textId="77777777" w:rsidR="005D5BB4" w:rsidRPr="00941491" w:rsidRDefault="005D5BB4" w:rsidP="005D5BB4">
      <w:pPr>
        <w:pStyle w:val="ListParagraph"/>
        <w:numPr>
          <w:ilvl w:val="0"/>
          <w:numId w:val="4"/>
        </w:numPr>
        <w:rPr>
          <w:b/>
          <w:bCs/>
          <w:lang w:val="en"/>
        </w:rPr>
      </w:pPr>
      <w:r>
        <w:lastRenderedPageBreak/>
        <w:t>Using the EU definition of small and medium enterprises (reproduced below)</w:t>
      </w:r>
      <w:r w:rsidRPr="00941491">
        <w:rPr>
          <w:b/>
          <w:bCs/>
          <w:lang w:val="en"/>
        </w:rPr>
        <w:t xml:space="preserve">, </w:t>
      </w:r>
      <w:r w:rsidR="008D7138">
        <w:rPr>
          <w:bCs/>
          <w:lang w:val="en"/>
        </w:rPr>
        <w:t>what should be the size class for</w:t>
      </w:r>
      <w:r>
        <w:rPr>
          <w:bCs/>
          <w:lang w:val="en"/>
        </w:rPr>
        <w:t xml:space="preserve"> </w:t>
      </w:r>
      <w:r w:rsidR="008D7138">
        <w:rPr>
          <w:bCs/>
          <w:lang w:val="en"/>
        </w:rPr>
        <w:t>the media business in Question 1?</w:t>
      </w:r>
    </w:p>
    <w:p w14:paraId="4A280A61" w14:textId="77777777" w:rsidR="005D5BB4" w:rsidRPr="00114D8C" w:rsidRDefault="000628BA" w:rsidP="000628BA">
      <w:pPr>
        <w:jc w:val="center"/>
      </w:pPr>
      <w:r>
        <w:rPr>
          <w:noProof/>
        </w:rPr>
        <w:drawing>
          <wp:inline distT="0" distB="0" distL="0" distR="0" wp14:anchorId="1608660D" wp14:editId="5B3FB0FA">
            <wp:extent cx="4128050" cy="1323975"/>
            <wp:effectExtent l="0" t="0" r="6350" b="0"/>
            <wp:docPr id="180" name="Shape 180"/>
            <wp:cNvGraphicFramePr/>
            <a:graphic xmlns:a="http://schemas.openxmlformats.org/drawingml/2006/main">
              <a:graphicData uri="http://schemas.openxmlformats.org/drawingml/2006/picture">
                <pic:pic xmlns:pic="http://schemas.openxmlformats.org/drawingml/2006/picture">
                  <pic:nvPicPr>
                    <pic:cNvPr id="180" name="Shape 180"/>
                    <pic:cNvPicPr preferRelativeResize="0"/>
                  </pic:nvPicPr>
                  <pic:blipFill>
                    <a:blip r:embed="rId7">
                      <a:alphaModFix/>
                    </a:blip>
                    <a:stretch>
                      <a:fillRect/>
                    </a:stretch>
                  </pic:blipFill>
                  <pic:spPr>
                    <a:xfrm>
                      <a:off x="0" y="0"/>
                      <a:ext cx="4160663" cy="1334435"/>
                    </a:xfrm>
                    <a:prstGeom prst="rect">
                      <a:avLst/>
                    </a:prstGeom>
                    <a:noFill/>
                    <a:ln>
                      <a:noFill/>
                    </a:ln>
                  </pic:spPr>
                </pic:pic>
              </a:graphicData>
            </a:graphic>
          </wp:inline>
        </w:drawing>
      </w:r>
    </w:p>
    <w:p w14:paraId="7D22F6FD" w14:textId="77777777" w:rsidR="003D6F5F" w:rsidRDefault="003D6F5F" w:rsidP="003D6F5F">
      <w:pPr>
        <w:pStyle w:val="ListParagraph"/>
        <w:ind w:left="1440"/>
        <w:rPr>
          <w:sz w:val="28"/>
          <w:szCs w:val="28"/>
        </w:rPr>
      </w:pPr>
    </w:p>
    <w:p w14:paraId="416A3A40" w14:textId="77777777" w:rsidR="003D6F5F" w:rsidRDefault="003D6F5F" w:rsidP="003D6F5F">
      <w:pPr>
        <w:pStyle w:val="ListParagraph"/>
        <w:ind w:left="1440"/>
        <w:rPr>
          <w:sz w:val="28"/>
          <w:szCs w:val="28"/>
        </w:rPr>
      </w:pPr>
    </w:p>
    <w:p w14:paraId="23498A49" w14:textId="77777777" w:rsidR="003D6F5F" w:rsidRDefault="003D6F5F" w:rsidP="003D6F5F">
      <w:pPr>
        <w:pStyle w:val="ListParagraph"/>
        <w:ind w:left="1440"/>
        <w:rPr>
          <w:sz w:val="28"/>
          <w:szCs w:val="28"/>
        </w:rPr>
      </w:pPr>
    </w:p>
    <w:p w14:paraId="574ACE9C" w14:textId="77777777" w:rsidR="003D6F5F" w:rsidRDefault="003D6F5F" w:rsidP="003D6F5F">
      <w:pPr>
        <w:pStyle w:val="ListParagraph"/>
        <w:ind w:left="1440"/>
        <w:rPr>
          <w:sz w:val="28"/>
          <w:szCs w:val="28"/>
        </w:rPr>
      </w:pPr>
    </w:p>
    <w:p w14:paraId="6BE52A6F" w14:textId="77777777" w:rsidR="003D6F5F" w:rsidRPr="003D6F5F" w:rsidRDefault="003D6F5F" w:rsidP="003D6F5F">
      <w:pPr>
        <w:pStyle w:val="ListParagraph"/>
        <w:ind w:left="1440"/>
        <w:rPr>
          <w:sz w:val="28"/>
          <w:szCs w:val="28"/>
        </w:rPr>
      </w:pPr>
    </w:p>
    <w:p w14:paraId="5199D684" w14:textId="77777777" w:rsidR="003D6F5F" w:rsidRPr="008D7138" w:rsidRDefault="003D6F5F" w:rsidP="003D6F5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r w:rsidRPr="003D6F5F">
        <w:rPr>
          <w:rFonts w:ascii="Arial" w:hAnsi="Arial" w:cs="Arial"/>
          <w:color w:val="222222"/>
          <w:sz w:val="19"/>
          <w:szCs w:val="19"/>
          <w:shd w:val="clear" w:color="auto" w:fill="FFFFFF"/>
        </w:rPr>
        <w:t>An</w:t>
      </w:r>
      <w:r>
        <w:rPr>
          <w:rFonts w:ascii="Arial" w:hAnsi="Arial" w:cs="Arial"/>
          <w:color w:val="222222"/>
          <w:sz w:val="19"/>
          <w:szCs w:val="19"/>
          <w:shd w:val="clear" w:color="auto" w:fill="FFFFFF"/>
        </w:rPr>
        <w:t>nex: Relevant ISIC Rev. 4 codes</w:t>
      </w:r>
    </w:p>
    <w:p w14:paraId="15C758E7" w14:textId="77777777" w:rsidR="00FF4EE1" w:rsidRDefault="00FF4EE1" w:rsidP="00FF4EE1">
      <w:pPr>
        <w:autoSpaceDE w:val="0"/>
        <w:autoSpaceDN w:val="0"/>
        <w:adjustRightInd w:val="0"/>
        <w:spacing w:after="0" w:line="240" w:lineRule="auto"/>
        <w:rPr>
          <w:rFonts w:ascii="MyriadPro-Semibold" w:hAnsi="MyriadPro-Semibold" w:cs="MyriadPro-Semibold"/>
          <w:color w:val="FFFFFF"/>
          <w:sz w:val="16"/>
          <w:szCs w:val="16"/>
        </w:rPr>
      </w:pPr>
    </w:p>
    <w:p w14:paraId="1BAA4C52" w14:textId="77777777" w:rsidR="00721BEB" w:rsidRDefault="00FF4EE1" w:rsidP="00721BEB">
      <w:pPr>
        <w:shd w:val="clear" w:color="auto" w:fill="D9D9D9" w:themeFill="background1" w:themeFillShade="D9"/>
        <w:autoSpaceDE w:val="0"/>
        <w:autoSpaceDN w:val="0"/>
        <w:adjustRightInd w:val="0"/>
        <w:spacing w:after="0" w:line="240" w:lineRule="auto"/>
        <w:rPr>
          <w:rFonts w:cstheme="minorHAnsi"/>
          <w:color w:val="000000"/>
          <w:sz w:val="20"/>
          <w:szCs w:val="20"/>
        </w:rPr>
      </w:pPr>
      <w:r w:rsidRPr="00721BEB">
        <w:rPr>
          <w:rFonts w:cstheme="minorHAnsi"/>
          <w:color w:val="000000"/>
          <w:sz w:val="20"/>
          <w:szCs w:val="20"/>
        </w:rPr>
        <w:t>Division 58 Publishing activities</w:t>
      </w:r>
    </w:p>
    <w:p w14:paraId="6F3E9451" w14:textId="77777777" w:rsidR="00FF4EE1" w:rsidRPr="00721BEB" w:rsidRDefault="00FF4EE1" w:rsidP="00D96399">
      <w:pPr>
        <w:autoSpaceDE w:val="0"/>
        <w:autoSpaceDN w:val="0"/>
        <w:adjustRightInd w:val="0"/>
        <w:spacing w:after="0" w:line="240" w:lineRule="auto"/>
        <w:ind w:left="720"/>
        <w:rPr>
          <w:rFonts w:cstheme="minorHAnsi"/>
          <w:color w:val="000000"/>
          <w:sz w:val="20"/>
          <w:szCs w:val="20"/>
        </w:rPr>
      </w:pPr>
      <w:r w:rsidRPr="00721BEB">
        <w:rPr>
          <w:rFonts w:cstheme="minorHAnsi"/>
          <w:color w:val="000000"/>
          <w:sz w:val="20"/>
          <w:szCs w:val="20"/>
        </w:rPr>
        <w:t>581 Publishing of books, periodicals and other publishing activities</w:t>
      </w:r>
    </w:p>
    <w:p w14:paraId="4ECCDFE9" w14:textId="77777777" w:rsidR="00FF4EE1" w:rsidRPr="00721BEB" w:rsidRDefault="00FF4EE1" w:rsidP="00D96399">
      <w:pPr>
        <w:autoSpaceDE w:val="0"/>
        <w:autoSpaceDN w:val="0"/>
        <w:adjustRightInd w:val="0"/>
        <w:spacing w:after="0" w:line="240" w:lineRule="auto"/>
        <w:ind w:left="1440"/>
        <w:rPr>
          <w:rFonts w:cstheme="minorHAnsi"/>
          <w:color w:val="000000"/>
          <w:sz w:val="20"/>
          <w:szCs w:val="20"/>
        </w:rPr>
      </w:pPr>
      <w:r w:rsidRPr="00721BEB">
        <w:rPr>
          <w:rFonts w:cstheme="minorHAnsi"/>
          <w:color w:val="000000"/>
          <w:sz w:val="20"/>
          <w:szCs w:val="20"/>
        </w:rPr>
        <w:t>5811 Book publishing</w:t>
      </w:r>
    </w:p>
    <w:p w14:paraId="24B6CA7C" w14:textId="77777777" w:rsidR="00FF4EE1" w:rsidRPr="00721BEB" w:rsidRDefault="00FF4EE1" w:rsidP="00D96399">
      <w:pPr>
        <w:autoSpaceDE w:val="0"/>
        <w:autoSpaceDN w:val="0"/>
        <w:adjustRightInd w:val="0"/>
        <w:spacing w:after="0" w:line="240" w:lineRule="auto"/>
        <w:ind w:left="1440"/>
        <w:rPr>
          <w:rFonts w:cstheme="minorHAnsi"/>
          <w:color w:val="000000"/>
          <w:sz w:val="20"/>
          <w:szCs w:val="20"/>
        </w:rPr>
      </w:pPr>
      <w:r w:rsidRPr="00721BEB">
        <w:rPr>
          <w:rFonts w:cstheme="minorHAnsi"/>
          <w:color w:val="000000"/>
          <w:sz w:val="20"/>
          <w:szCs w:val="20"/>
        </w:rPr>
        <w:t>5812 Publishing of directories and mailing lists</w:t>
      </w:r>
    </w:p>
    <w:p w14:paraId="1382AC8C" w14:textId="77777777" w:rsidR="00FF4EE1" w:rsidRPr="00721BEB" w:rsidRDefault="00FF4EE1" w:rsidP="00D96399">
      <w:pPr>
        <w:autoSpaceDE w:val="0"/>
        <w:autoSpaceDN w:val="0"/>
        <w:adjustRightInd w:val="0"/>
        <w:spacing w:after="0" w:line="240" w:lineRule="auto"/>
        <w:ind w:left="1440"/>
        <w:rPr>
          <w:rFonts w:cstheme="minorHAnsi"/>
          <w:color w:val="000000"/>
          <w:sz w:val="20"/>
          <w:szCs w:val="20"/>
        </w:rPr>
      </w:pPr>
      <w:r w:rsidRPr="00721BEB">
        <w:rPr>
          <w:rFonts w:cstheme="minorHAnsi"/>
          <w:color w:val="000000"/>
          <w:sz w:val="20"/>
          <w:szCs w:val="20"/>
        </w:rPr>
        <w:t>5813 Publishing of newspapers, journals and periodicals</w:t>
      </w:r>
    </w:p>
    <w:p w14:paraId="172244DD" w14:textId="77777777" w:rsidR="00FF4EE1" w:rsidRPr="00721BEB" w:rsidRDefault="00FF4EE1" w:rsidP="00D96399">
      <w:pPr>
        <w:autoSpaceDE w:val="0"/>
        <w:autoSpaceDN w:val="0"/>
        <w:adjustRightInd w:val="0"/>
        <w:spacing w:after="0" w:line="240" w:lineRule="auto"/>
        <w:ind w:left="1440"/>
        <w:rPr>
          <w:rFonts w:cstheme="minorHAnsi"/>
          <w:color w:val="000000"/>
          <w:sz w:val="20"/>
          <w:szCs w:val="20"/>
        </w:rPr>
      </w:pPr>
      <w:r w:rsidRPr="00721BEB">
        <w:rPr>
          <w:rFonts w:cstheme="minorHAnsi"/>
          <w:color w:val="000000"/>
          <w:sz w:val="20"/>
          <w:szCs w:val="20"/>
        </w:rPr>
        <w:t>5819 Other publishing activities</w:t>
      </w:r>
    </w:p>
    <w:p w14:paraId="18B88923" w14:textId="77777777" w:rsidR="00FF4EE1" w:rsidRPr="00721BEB" w:rsidRDefault="00FF4EE1" w:rsidP="00D96399">
      <w:pPr>
        <w:autoSpaceDE w:val="0"/>
        <w:autoSpaceDN w:val="0"/>
        <w:adjustRightInd w:val="0"/>
        <w:spacing w:after="0" w:line="240" w:lineRule="auto"/>
        <w:ind w:left="720"/>
        <w:rPr>
          <w:rFonts w:cstheme="minorHAnsi"/>
          <w:color w:val="000000"/>
          <w:sz w:val="20"/>
          <w:szCs w:val="20"/>
        </w:rPr>
      </w:pPr>
      <w:r w:rsidRPr="00721BEB">
        <w:rPr>
          <w:rFonts w:cstheme="minorHAnsi"/>
          <w:color w:val="000000"/>
          <w:sz w:val="20"/>
          <w:szCs w:val="20"/>
        </w:rPr>
        <w:t>582 5820 Software publishing</w:t>
      </w:r>
    </w:p>
    <w:p w14:paraId="7A71B5B0" w14:textId="77777777" w:rsidR="00721BEB" w:rsidRPr="00721BEB" w:rsidRDefault="00721BEB" w:rsidP="00D96399">
      <w:pPr>
        <w:autoSpaceDE w:val="0"/>
        <w:autoSpaceDN w:val="0"/>
        <w:adjustRightInd w:val="0"/>
        <w:spacing w:after="0" w:line="240" w:lineRule="auto"/>
        <w:ind w:left="720"/>
        <w:rPr>
          <w:rFonts w:cstheme="minorHAnsi"/>
          <w:color w:val="000000"/>
          <w:sz w:val="20"/>
          <w:szCs w:val="20"/>
        </w:rPr>
      </w:pPr>
    </w:p>
    <w:p w14:paraId="7754270E" w14:textId="77777777" w:rsidR="00FF4EE1" w:rsidRPr="00721BEB" w:rsidRDefault="00FF4EE1" w:rsidP="00721BEB">
      <w:pPr>
        <w:shd w:val="clear" w:color="auto" w:fill="D9D9D9" w:themeFill="background1" w:themeFillShade="D9"/>
        <w:autoSpaceDE w:val="0"/>
        <w:autoSpaceDN w:val="0"/>
        <w:adjustRightInd w:val="0"/>
        <w:spacing w:after="0" w:line="240" w:lineRule="auto"/>
        <w:rPr>
          <w:rFonts w:cstheme="minorHAnsi"/>
          <w:color w:val="000000"/>
          <w:sz w:val="20"/>
          <w:szCs w:val="20"/>
        </w:rPr>
      </w:pPr>
      <w:r w:rsidRPr="00721BEB">
        <w:rPr>
          <w:rFonts w:cstheme="minorHAnsi"/>
          <w:color w:val="000000"/>
          <w:sz w:val="20"/>
          <w:szCs w:val="20"/>
        </w:rPr>
        <w:t xml:space="preserve">Division 59 Motion picture, video and television </w:t>
      </w:r>
      <w:proofErr w:type="spellStart"/>
      <w:r w:rsidRPr="00721BEB">
        <w:rPr>
          <w:rFonts w:cstheme="minorHAnsi"/>
          <w:color w:val="000000"/>
          <w:sz w:val="20"/>
          <w:szCs w:val="20"/>
        </w:rPr>
        <w:t>programme</w:t>
      </w:r>
      <w:proofErr w:type="spellEnd"/>
      <w:r w:rsidRPr="00721BEB">
        <w:rPr>
          <w:rFonts w:cstheme="minorHAnsi"/>
          <w:color w:val="000000"/>
          <w:sz w:val="20"/>
          <w:szCs w:val="20"/>
        </w:rPr>
        <w:t xml:space="preserve"> production, sound recording</w:t>
      </w:r>
    </w:p>
    <w:p w14:paraId="726B49AE" w14:textId="77777777" w:rsidR="00FF4EE1" w:rsidRPr="00721BEB" w:rsidRDefault="00FF4EE1" w:rsidP="00721BEB">
      <w:pPr>
        <w:shd w:val="clear" w:color="auto" w:fill="D9D9D9" w:themeFill="background1" w:themeFillShade="D9"/>
        <w:autoSpaceDE w:val="0"/>
        <w:autoSpaceDN w:val="0"/>
        <w:adjustRightInd w:val="0"/>
        <w:spacing w:after="0" w:line="240" w:lineRule="auto"/>
        <w:rPr>
          <w:rFonts w:cstheme="minorHAnsi"/>
          <w:color w:val="000000"/>
          <w:sz w:val="20"/>
          <w:szCs w:val="20"/>
        </w:rPr>
      </w:pPr>
      <w:r w:rsidRPr="00721BEB">
        <w:rPr>
          <w:rFonts w:cstheme="minorHAnsi"/>
          <w:color w:val="000000"/>
          <w:sz w:val="20"/>
          <w:szCs w:val="20"/>
        </w:rPr>
        <w:t>and music publishing activities</w:t>
      </w:r>
    </w:p>
    <w:p w14:paraId="18F69352" w14:textId="77777777" w:rsidR="00721BEB" w:rsidRPr="00721BEB" w:rsidRDefault="00721BEB" w:rsidP="00721BEB">
      <w:pPr>
        <w:autoSpaceDE w:val="0"/>
        <w:autoSpaceDN w:val="0"/>
        <w:adjustRightInd w:val="0"/>
        <w:spacing w:after="0" w:line="240" w:lineRule="auto"/>
        <w:rPr>
          <w:rFonts w:ascii="MyriadPro-Regular" w:hAnsi="MyriadPro-Regular" w:cs="MyriadPro-Regular"/>
          <w:sz w:val="20"/>
          <w:szCs w:val="20"/>
        </w:rPr>
      </w:pPr>
      <w:r w:rsidRPr="00721BEB">
        <w:rPr>
          <w:rFonts w:ascii="MyriadPro-Regular" w:hAnsi="MyriadPro-Regular" w:cs="MyriadPro-Regular"/>
          <w:sz w:val="20"/>
          <w:szCs w:val="20"/>
        </w:rPr>
        <w:t>This division includes production of theatrical and non-theatrical motion pictures whether on film, videotape or disc for direct projection in theatres or for broadcasting on television; supporting activities such as film editing, cutting, dubbing etc.; distribution of motion pictures and other film productions to other industries; as well as motion picture or other film productions projection. Also included is the buying and selling of distribution rights for motion pictures or other film productions. This division also includes the sound recording activities, i.e. production of original sound</w:t>
      </w:r>
      <w:r>
        <w:rPr>
          <w:rFonts w:ascii="MyriadPro-Regular" w:hAnsi="MyriadPro-Regular" w:cs="MyriadPro-Regular"/>
          <w:sz w:val="20"/>
          <w:szCs w:val="20"/>
        </w:rPr>
        <w:t xml:space="preserve"> </w:t>
      </w:r>
      <w:r w:rsidRPr="00721BEB">
        <w:rPr>
          <w:rFonts w:ascii="MyriadPro-Regular" w:hAnsi="MyriadPro-Regular" w:cs="MyriadPro-Regular"/>
          <w:sz w:val="20"/>
          <w:szCs w:val="20"/>
        </w:rPr>
        <w:t>master recordings, releasing, promoting and distributing them, publishing of music as</w:t>
      </w:r>
    </w:p>
    <w:p w14:paraId="467E750C" w14:textId="77777777" w:rsidR="00721BEB" w:rsidRDefault="00721BEB" w:rsidP="00721BEB">
      <w:pPr>
        <w:autoSpaceDE w:val="0"/>
        <w:autoSpaceDN w:val="0"/>
        <w:adjustRightInd w:val="0"/>
        <w:spacing w:after="0" w:line="240" w:lineRule="auto"/>
        <w:rPr>
          <w:rFonts w:ascii="MyriadPro-Regular" w:hAnsi="MyriadPro-Regular" w:cs="MyriadPro-Regular"/>
          <w:sz w:val="20"/>
          <w:szCs w:val="20"/>
        </w:rPr>
      </w:pPr>
      <w:r w:rsidRPr="00721BEB">
        <w:rPr>
          <w:rFonts w:ascii="MyriadPro-Regular" w:hAnsi="MyriadPro-Regular" w:cs="MyriadPro-Regular"/>
          <w:sz w:val="20"/>
          <w:szCs w:val="20"/>
        </w:rPr>
        <w:t>well as sound recording service activities in a studio or elsewhere.</w:t>
      </w:r>
    </w:p>
    <w:p w14:paraId="7C5D3967" w14:textId="77777777" w:rsidR="00721BEB" w:rsidRPr="00721BEB" w:rsidRDefault="00721BEB" w:rsidP="00721BEB">
      <w:pPr>
        <w:autoSpaceDE w:val="0"/>
        <w:autoSpaceDN w:val="0"/>
        <w:adjustRightInd w:val="0"/>
        <w:spacing w:after="0" w:line="240" w:lineRule="auto"/>
        <w:rPr>
          <w:rFonts w:cstheme="minorHAnsi"/>
          <w:color w:val="000000"/>
          <w:sz w:val="20"/>
          <w:szCs w:val="20"/>
        </w:rPr>
      </w:pPr>
    </w:p>
    <w:p w14:paraId="1F7021C6" w14:textId="77777777" w:rsidR="00FF4EE1" w:rsidRPr="00721BEB" w:rsidRDefault="00FF4EE1" w:rsidP="00D96399">
      <w:pPr>
        <w:autoSpaceDE w:val="0"/>
        <w:autoSpaceDN w:val="0"/>
        <w:adjustRightInd w:val="0"/>
        <w:spacing w:after="0" w:line="240" w:lineRule="auto"/>
        <w:ind w:left="720"/>
        <w:rPr>
          <w:rFonts w:cstheme="minorHAnsi"/>
          <w:color w:val="000000"/>
          <w:sz w:val="20"/>
          <w:szCs w:val="20"/>
        </w:rPr>
      </w:pPr>
      <w:r w:rsidRPr="00721BEB">
        <w:rPr>
          <w:rFonts w:cstheme="minorHAnsi"/>
          <w:color w:val="000000"/>
          <w:sz w:val="20"/>
          <w:szCs w:val="20"/>
        </w:rPr>
        <w:t xml:space="preserve">591 Motion picture, video and television </w:t>
      </w:r>
      <w:proofErr w:type="spellStart"/>
      <w:r w:rsidRPr="00721BEB">
        <w:rPr>
          <w:rFonts w:cstheme="minorHAnsi"/>
          <w:color w:val="000000"/>
          <w:sz w:val="20"/>
          <w:szCs w:val="20"/>
        </w:rPr>
        <w:t>programme</w:t>
      </w:r>
      <w:proofErr w:type="spellEnd"/>
      <w:r w:rsidRPr="00721BEB">
        <w:rPr>
          <w:rFonts w:cstheme="minorHAnsi"/>
          <w:color w:val="000000"/>
          <w:sz w:val="20"/>
          <w:szCs w:val="20"/>
        </w:rPr>
        <w:t xml:space="preserve"> activities</w:t>
      </w:r>
    </w:p>
    <w:p w14:paraId="2BCC7E6D" w14:textId="77777777" w:rsidR="00FF4EE1" w:rsidRPr="00721BEB" w:rsidRDefault="00FF4EE1" w:rsidP="00D96399">
      <w:pPr>
        <w:autoSpaceDE w:val="0"/>
        <w:autoSpaceDN w:val="0"/>
        <w:adjustRightInd w:val="0"/>
        <w:spacing w:after="0" w:line="240" w:lineRule="auto"/>
        <w:ind w:left="1440"/>
        <w:rPr>
          <w:rFonts w:cstheme="minorHAnsi"/>
          <w:color w:val="000000"/>
          <w:sz w:val="20"/>
          <w:szCs w:val="20"/>
        </w:rPr>
      </w:pPr>
      <w:r w:rsidRPr="00721BEB">
        <w:rPr>
          <w:rFonts w:cstheme="minorHAnsi"/>
          <w:color w:val="000000"/>
          <w:sz w:val="20"/>
          <w:szCs w:val="20"/>
        </w:rPr>
        <w:t xml:space="preserve">5911 Motion picture, video and television </w:t>
      </w:r>
      <w:proofErr w:type="spellStart"/>
      <w:r w:rsidRPr="00721BEB">
        <w:rPr>
          <w:rFonts w:cstheme="minorHAnsi"/>
          <w:color w:val="000000"/>
          <w:sz w:val="20"/>
          <w:szCs w:val="20"/>
        </w:rPr>
        <w:t>programme</w:t>
      </w:r>
      <w:proofErr w:type="spellEnd"/>
      <w:r w:rsidRPr="00721BEB">
        <w:rPr>
          <w:rFonts w:cstheme="minorHAnsi"/>
          <w:color w:val="000000"/>
          <w:sz w:val="20"/>
          <w:szCs w:val="20"/>
        </w:rPr>
        <w:t xml:space="preserve"> production activities</w:t>
      </w:r>
    </w:p>
    <w:p w14:paraId="5F1AD8BD" w14:textId="77777777" w:rsidR="00FF4EE1" w:rsidRPr="00721BEB" w:rsidRDefault="00FF4EE1" w:rsidP="00D96399">
      <w:pPr>
        <w:autoSpaceDE w:val="0"/>
        <w:autoSpaceDN w:val="0"/>
        <w:adjustRightInd w:val="0"/>
        <w:spacing w:after="0" w:line="240" w:lineRule="auto"/>
        <w:ind w:left="1440"/>
        <w:rPr>
          <w:rFonts w:cstheme="minorHAnsi"/>
          <w:color w:val="000000"/>
          <w:sz w:val="20"/>
          <w:szCs w:val="20"/>
        </w:rPr>
      </w:pPr>
      <w:r w:rsidRPr="00721BEB">
        <w:rPr>
          <w:rFonts w:cstheme="minorHAnsi"/>
          <w:color w:val="000000"/>
          <w:sz w:val="20"/>
          <w:szCs w:val="20"/>
        </w:rPr>
        <w:t xml:space="preserve">5912 Motion picture, video and television </w:t>
      </w:r>
      <w:proofErr w:type="spellStart"/>
      <w:r w:rsidRPr="00721BEB">
        <w:rPr>
          <w:rFonts w:cstheme="minorHAnsi"/>
          <w:color w:val="000000"/>
          <w:sz w:val="20"/>
          <w:szCs w:val="20"/>
        </w:rPr>
        <w:t>programme</w:t>
      </w:r>
      <w:proofErr w:type="spellEnd"/>
      <w:r w:rsidRPr="00721BEB">
        <w:rPr>
          <w:rFonts w:cstheme="minorHAnsi"/>
          <w:color w:val="000000"/>
          <w:sz w:val="20"/>
          <w:szCs w:val="20"/>
        </w:rPr>
        <w:t xml:space="preserve"> post-production activities</w:t>
      </w:r>
    </w:p>
    <w:p w14:paraId="23F9ACE5" w14:textId="77777777" w:rsidR="00FF4EE1" w:rsidRPr="00721BEB" w:rsidRDefault="00FF4EE1" w:rsidP="00D96399">
      <w:pPr>
        <w:autoSpaceDE w:val="0"/>
        <w:autoSpaceDN w:val="0"/>
        <w:adjustRightInd w:val="0"/>
        <w:spacing w:after="0" w:line="240" w:lineRule="auto"/>
        <w:ind w:left="1440"/>
        <w:rPr>
          <w:rFonts w:cstheme="minorHAnsi"/>
          <w:color w:val="000000"/>
          <w:sz w:val="20"/>
          <w:szCs w:val="20"/>
        </w:rPr>
      </w:pPr>
      <w:r w:rsidRPr="00721BEB">
        <w:rPr>
          <w:rFonts w:cstheme="minorHAnsi"/>
          <w:color w:val="000000"/>
          <w:sz w:val="20"/>
          <w:szCs w:val="20"/>
        </w:rPr>
        <w:t xml:space="preserve">5913 Motion picture, video and television </w:t>
      </w:r>
      <w:proofErr w:type="spellStart"/>
      <w:r w:rsidRPr="00721BEB">
        <w:rPr>
          <w:rFonts w:cstheme="minorHAnsi"/>
          <w:color w:val="000000"/>
          <w:sz w:val="20"/>
          <w:szCs w:val="20"/>
        </w:rPr>
        <w:t>programme</w:t>
      </w:r>
      <w:proofErr w:type="spellEnd"/>
      <w:r w:rsidRPr="00721BEB">
        <w:rPr>
          <w:rFonts w:cstheme="minorHAnsi"/>
          <w:color w:val="000000"/>
          <w:sz w:val="20"/>
          <w:szCs w:val="20"/>
        </w:rPr>
        <w:t xml:space="preserve"> distribution activities</w:t>
      </w:r>
    </w:p>
    <w:p w14:paraId="3C6A85B0" w14:textId="77777777" w:rsidR="00FF4EE1" w:rsidRPr="00721BEB" w:rsidRDefault="00FF4EE1" w:rsidP="00D96399">
      <w:pPr>
        <w:autoSpaceDE w:val="0"/>
        <w:autoSpaceDN w:val="0"/>
        <w:adjustRightInd w:val="0"/>
        <w:spacing w:after="0" w:line="240" w:lineRule="auto"/>
        <w:ind w:left="1440"/>
        <w:rPr>
          <w:rFonts w:cstheme="minorHAnsi"/>
          <w:color w:val="000000"/>
          <w:sz w:val="20"/>
          <w:szCs w:val="20"/>
        </w:rPr>
      </w:pPr>
      <w:r w:rsidRPr="00721BEB">
        <w:rPr>
          <w:rFonts w:cstheme="minorHAnsi"/>
          <w:color w:val="000000"/>
          <w:sz w:val="20"/>
          <w:szCs w:val="20"/>
        </w:rPr>
        <w:t>5914 Motion picture projection activities</w:t>
      </w:r>
    </w:p>
    <w:p w14:paraId="5D978920" w14:textId="77777777" w:rsidR="00721BEB" w:rsidRPr="00721BEB" w:rsidRDefault="00FF4EE1" w:rsidP="00D96399">
      <w:pPr>
        <w:autoSpaceDE w:val="0"/>
        <w:autoSpaceDN w:val="0"/>
        <w:adjustRightInd w:val="0"/>
        <w:spacing w:after="0" w:line="240" w:lineRule="auto"/>
        <w:ind w:left="720"/>
        <w:rPr>
          <w:rFonts w:cstheme="minorHAnsi"/>
          <w:color w:val="FFFFFF"/>
          <w:sz w:val="20"/>
          <w:szCs w:val="20"/>
        </w:rPr>
      </w:pPr>
      <w:r w:rsidRPr="00721BEB">
        <w:rPr>
          <w:rFonts w:cstheme="minorHAnsi"/>
          <w:color w:val="000000"/>
          <w:sz w:val="20"/>
          <w:szCs w:val="20"/>
        </w:rPr>
        <w:t xml:space="preserve">592 5920 Sound recording and music publishing </w:t>
      </w:r>
      <w:proofErr w:type="spellStart"/>
      <w:r w:rsidRPr="00721BEB">
        <w:rPr>
          <w:rFonts w:cstheme="minorHAnsi"/>
          <w:color w:val="000000"/>
          <w:sz w:val="20"/>
          <w:szCs w:val="20"/>
        </w:rPr>
        <w:t>activities</w:t>
      </w:r>
      <w:r w:rsidRPr="00721BEB">
        <w:rPr>
          <w:rFonts w:cstheme="minorHAnsi"/>
          <w:color w:val="FFFFFF"/>
          <w:sz w:val="20"/>
          <w:szCs w:val="20"/>
        </w:rPr>
        <w:t>Div</w:t>
      </w:r>
      <w:proofErr w:type="spellEnd"/>
    </w:p>
    <w:p w14:paraId="197488D0" w14:textId="77777777" w:rsidR="003D6F5F" w:rsidRDefault="00FF4EE1" w:rsidP="00D96399">
      <w:pPr>
        <w:autoSpaceDE w:val="0"/>
        <w:autoSpaceDN w:val="0"/>
        <w:adjustRightInd w:val="0"/>
        <w:spacing w:after="0" w:line="240" w:lineRule="auto"/>
        <w:ind w:left="720"/>
        <w:rPr>
          <w:rFonts w:cstheme="minorHAnsi"/>
          <w:color w:val="FFFFFF"/>
          <w:sz w:val="20"/>
          <w:szCs w:val="20"/>
        </w:rPr>
      </w:pPr>
      <w:proofErr w:type="spellStart"/>
      <w:r w:rsidRPr="00721BEB">
        <w:rPr>
          <w:rFonts w:cstheme="minorHAnsi"/>
          <w:color w:val="FFFFFF"/>
          <w:sz w:val="20"/>
          <w:szCs w:val="20"/>
        </w:rPr>
        <w:t>ision</w:t>
      </w:r>
      <w:proofErr w:type="spellEnd"/>
      <w:r w:rsidRPr="00721BEB">
        <w:rPr>
          <w:rFonts w:cstheme="minorHAnsi"/>
          <w:color w:val="FFFFFF"/>
          <w:sz w:val="20"/>
          <w:szCs w:val="20"/>
        </w:rPr>
        <w:t xml:space="preserve"> Group </w:t>
      </w:r>
      <w:proofErr w:type="spellStart"/>
      <w:r w:rsidRPr="00721BEB">
        <w:rPr>
          <w:rFonts w:cstheme="minorHAnsi"/>
          <w:color w:val="FFFFFF"/>
          <w:sz w:val="20"/>
          <w:szCs w:val="20"/>
        </w:rPr>
        <w:t>Classscr</w:t>
      </w:r>
      <w:proofErr w:type="spellEnd"/>
    </w:p>
    <w:p w14:paraId="26B15487" w14:textId="77777777" w:rsidR="003D6F5F" w:rsidRDefault="003D6F5F" w:rsidP="00D96399">
      <w:pPr>
        <w:autoSpaceDE w:val="0"/>
        <w:autoSpaceDN w:val="0"/>
        <w:adjustRightInd w:val="0"/>
        <w:spacing w:after="0" w:line="240" w:lineRule="auto"/>
        <w:ind w:left="720"/>
        <w:rPr>
          <w:rFonts w:cstheme="minorHAnsi"/>
          <w:color w:val="FFFFFF"/>
          <w:sz w:val="20"/>
          <w:szCs w:val="20"/>
        </w:rPr>
      </w:pPr>
    </w:p>
    <w:p w14:paraId="7C048506" w14:textId="77777777" w:rsidR="003D6F5F" w:rsidRDefault="003D6F5F" w:rsidP="00D96399">
      <w:pPr>
        <w:autoSpaceDE w:val="0"/>
        <w:autoSpaceDN w:val="0"/>
        <w:adjustRightInd w:val="0"/>
        <w:spacing w:after="0" w:line="240" w:lineRule="auto"/>
        <w:ind w:left="720"/>
        <w:rPr>
          <w:rFonts w:cstheme="minorHAnsi"/>
          <w:color w:val="FFFFFF"/>
          <w:sz w:val="20"/>
          <w:szCs w:val="20"/>
        </w:rPr>
      </w:pPr>
    </w:p>
    <w:p w14:paraId="54702A0B" w14:textId="77777777" w:rsidR="003D6F5F" w:rsidRDefault="003D6F5F" w:rsidP="003D6F5F">
      <w:pPr>
        <w:autoSpaceDE w:val="0"/>
        <w:autoSpaceDN w:val="0"/>
        <w:adjustRightInd w:val="0"/>
        <w:spacing w:after="0" w:line="240" w:lineRule="auto"/>
        <w:rPr>
          <w:rFonts w:cstheme="minorHAnsi"/>
          <w:color w:val="FFFFFF"/>
          <w:sz w:val="20"/>
          <w:szCs w:val="20"/>
        </w:rPr>
      </w:pPr>
    </w:p>
    <w:p w14:paraId="6E09D35E" w14:textId="77777777" w:rsidR="00FF4EE1" w:rsidRPr="00721BEB" w:rsidRDefault="00FF4EE1" w:rsidP="00D96399">
      <w:pPr>
        <w:autoSpaceDE w:val="0"/>
        <w:autoSpaceDN w:val="0"/>
        <w:adjustRightInd w:val="0"/>
        <w:spacing w:after="0" w:line="240" w:lineRule="auto"/>
        <w:ind w:left="720"/>
        <w:rPr>
          <w:rFonts w:cstheme="minorHAnsi"/>
          <w:color w:val="000000"/>
          <w:sz w:val="20"/>
          <w:szCs w:val="20"/>
        </w:rPr>
      </w:pPr>
      <w:proofErr w:type="spellStart"/>
      <w:r w:rsidRPr="00721BEB">
        <w:rPr>
          <w:rFonts w:cstheme="minorHAnsi"/>
          <w:color w:val="FFFFFF"/>
          <w:sz w:val="20"/>
          <w:szCs w:val="20"/>
        </w:rPr>
        <w:lastRenderedPageBreak/>
        <w:t>iption</w:t>
      </w:r>
      <w:proofErr w:type="spellEnd"/>
    </w:p>
    <w:p w14:paraId="09FEA228" w14:textId="77777777" w:rsidR="00FF4EE1" w:rsidRPr="00721BEB" w:rsidRDefault="00FF4EE1" w:rsidP="00721BEB">
      <w:pPr>
        <w:shd w:val="clear" w:color="auto" w:fill="D9D9D9" w:themeFill="background1" w:themeFillShade="D9"/>
        <w:autoSpaceDE w:val="0"/>
        <w:autoSpaceDN w:val="0"/>
        <w:adjustRightInd w:val="0"/>
        <w:spacing w:after="0" w:line="240" w:lineRule="auto"/>
        <w:rPr>
          <w:rFonts w:cstheme="minorHAnsi"/>
          <w:color w:val="000000"/>
          <w:sz w:val="20"/>
          <w:szCs w:val="20"/>
        </w:rPr>
      </w:pPr>
      <w:r w:rsidRPr="00721BEB">
        <w:rPr>
          <w:rFonts w:cstheme="minorHAnsi"/>
          <w:color w:val="000000"/>
          <w:sz w:val="20"/>
          <w:szCs w:val="20"/>
        </w:rPr>
        <w:t>Division 60 Programming and broadcasting activities</w:t>
      </w:r>
    </w:p>
    <w:p w14:paraId="089F8651" w14:textId="77777777" w:rsidR="00D96399" w:rsidRPr="00721BEB" w:rsidRDefault="00D96399" w:rsidP="00D96399">
      <w:pPr>
        <w:autoSpaceDE w:val="0"/>
        <w:autoSpaceDN w:val="0"/>
        <w:adjustRightInd w:val="0"/>
        <w:spacing w:after="0" w:line="240" w:lineRule="auto"/>
        <w:rPr>
          <w:rFonts w:cstheme="minorHAnsi"/>
          <w:sz w:val="20"/>
          <w:szCs w:val="20"/>
        </w:rPr>
      </w:pPr>
      <w:r w:rsidRPr="00721BEB">
        <w:rPr>
          <w:rFonts w:cstheme="minorHAnsi"/>
          <w:sz w:val="20"/>
          <w:szCs w:val="20"/>
        </w:rPr>
        <w:t>This division includes the activities of creating content or acquiring the right to distribute content and subsequently broadcasting that content, such as radio, television and data</w:t>
      </w:r>
      <w:r w:rsidR="00721BEB" w:rsidRPr="00721BEB">
        <w:rPr>
          <w:rFonts w:cstheme="minorHAnsi"/>
          <w:sz w:val="20"/>
          <w:szCs w:val="20"/>
        </w:rPr>
        <w:t xml:space="preserve"> </w:t>
      </w:r>
      <w:r w:rsidRPr="00721BEB">
        <w:rPr>
          <w:rFonts w:cstheme="minorHAnsi"/>
          <w:sz w:val="20"/>
          <w:szCs w:val="20"/>
        </w:rPr>
        <w:t>programs of entertainment, news, talk, and the like. Also included</w:t>
      </w:r>
      <w:r w:rsidR="00721BEB" w:rsidRPr="00721BEB">
        <w:rPr>
          <w:rFonts w:cstheme="minorHAnsi"/>
          <w:sz w:val="20"/>
          <w:szCs w:val="20"/>
        </w:rPr>
        <w:t xml:space="preserve"> </w:t>
      </w:r>
      <w:r w:rsidRPr="00721BEB">
        <w:rPr>
          <w:rFonts w:cstheme="minorHAnsi"/>
          <w:sz w:val="20"/>
          <w:szCs w:val="20"/>
        </w:rPr>
        <w:t>is data broadcasting,</w:t>
      </w:r>
      <w:r w:rsidR="00721BEB" w:rsidRPr="00721BEB">
        <w:rPr>
          <w:rFonts w:cstheme="minorHAnsi"/>
          <w:sz w:val="20"/>
          <w:szCs w:val="20"/>
        </w:rPr>
        <w:t xml:space="preserve"> </w:t>
      </w:r>
      <w:r w:rsidRPr="00721BEB">
        <w:rPr>
          <w:rFonts w:cstheme="minorHAnsi"/>
          <w:sz w:val="20"/>
          <w:szCs w:val="20"/>
        </w:rPr>
        <w:t>typically integrated with radio or TV broadcasting. The broadcasting can be performed</w:t>
      </w:r>
      <w:r w:rsidR="00721BEB" w:rsidRPr="00721BEB">
        <w:rPr>
          <w:rFonts w:cstheme="minorHAnsi"/>
          <w:sz w:val="20"/>
          <w:szCs w:val="20"/>
        </w:rPr>
        <w:t xml:space="preserve"> </w:t>
      </w:r>
      <w:r w:rsidRPr="00721BEB">
        <w:rPr>
          <w:rFonts w:cstheme="minorHAnsi"/>
          <w:sz w:val="20"/>
          <w:szCs w:val="20"/>
        </w:rPr>
        <w:t>using different</w:t>
      </w:r>
      <w:r w:rsidR="00721BEB" w:rsidRPr="00721BEB">
        <w:rPr>
          <w:rFonts w:cstheme="minorHAnsi"/>
          <w:sz w:val="20"/>
          <w:szCs w:val="20"/>
        </w:rPr>
        <w:t xml:space="preserve"> </w:t>
      </w:r>
      <w:r w:rsidRPr="00721BEB">
        <w:rPr>
          <w:rFonts w:cstheme="minorHAnsi"/>
          <w:sz w:val="20"/>
          <w:szCs w:val="20"/>
        </w:rPr>
        <w:t>technologies, over-the-air, via satellite, via a cable network or via Internet.</w:t>
      </w:r>
      <w:r w:rsidR="00721BEB" w:rsidRPr="00721BEB">
        <w:rPr>
          <w:rFonts w:cstheme="minorHAnsi"/>
          <w:sz w:val="20"/>
          <w:szCs w:val="20"/>
        </w:rPr>
        <w:t xml:space="preserve"> </w:t>
      </w:r>
      <w:r w:rsidRPr="00721BEB">
        <w:rPr>
          <w:rFonts w:cstheme="minorHAnsi"/>
          <w:sz w:val="20"/>
          <w:szCs w:val="20"/>
        </w:rPr>
        <w:t>This division also includes the production of programs that are typically narrowcast in</w:t>
      </w:r>
      <w:r w:rsidR="00721BEB" w:rsidRPr="00721BEB">
        <w:rPr>
          <w:rFonts w:cstheme="minorHAnsi"/>
          <w:sz w:val="20"/>
          <w:szCs w:val="20"/>
        </w:rPr>
        <w:t xml:space="preserve"> </w:t>
      </w:r>
      <w:r w:rsidRPr="00721BEB">
        <w:rPr>
          <w:rFonts w:cstheme="minorHAnsi"/>
          <w:sz w:val="20"/>
          <w:szCs w:val="20"/>
        </w:rPr>
        <w:t>nature (limited format, such as news, sports, education or youth-oriented programming)</w:t>
      </w:r>
      <w:r w:rsidR="00721BEB" w:rsidRPr="00721BEB">
        <w:rPr>
          <w:rFonts w:cstheme="minorHAnsi"/>
          <w:sz w:val="20"/>
          <w:szCs w:val="20"/>
        </w:rPr>
        <w:t xml:space="preserve"> </w:t>
      </w:r>
      <w:r w:rsidRPr="00721BEB">
        <w:rPr>
          <w:rFonts w:cstheme="minorHAnsi"/>
          <w:sz w:val="20"/>
          <w:szCs w:val="20"/>
        </w:rPr>
        <w:t>on a subscription or fee basis, to a third party, for subsequent broadcasting to the public.</w:t>
      </w:r>
      <w:r w:rsidR="00721BEB" w:rsidRPr="00721BEB">
        <w:rPr>
          <w:rFonts w:cstheme="minorHAnsi"/>
          <w:sz w:val="20"/>
          <w:szCs w:val="20"/>
        </w:rPr>
        <w:t xml:space="preserve"> </w:t>
      </w:r>
      <w:r w:rsidRPr="00721BEB">
        <w:rPr>
          <w:rFonts w:cstheme="minorHAnsi"/>
          <w:sz w:val="20"/>
          <w:szCs w:val="20"/>
        </w:rPr>
        <w:t>This division excludes the distribution of cable and other subscription programming (see</w:t>
      </w:r>
      <w:r w:rsidR="00721BEB" w:rsidRPr="00721BEB">
        <w:rPr>
          <w:rFonts w:cstheme="minorHAnsi"/>
          <w:sz w:val="20"/>
          <w:szCs w:val="20"/>
        </w:rPr>
        <w:t xml:space="preserve"> </w:t>
      </w:r>
      <w:r w:rsidRPr="00721BEB">
        <w:rPr>
          <w:rFonts w:cstheme="minorHAnsi"/>
          <w:sz w:val="20"/>
          <w:szCs w:val="20"/>
        </w:rPr>
        <w:t>division 61).</w:t>
      </w:r>
    </w:p>
    <w:p w14:paraId="6AF0843A" w14:textId="77777777" w:rsidR="00721BEB" w:rsidRPr="00721BEB" w:rsidRDefault="00721BEB" w:rsidP="00D96399">
      <w:pPr>
        <w:autoSpaceDE w:val="0"/>
        <w:autoSpaceDN w:val="0"/>
        <w:adjustRightInd w:val="0"/>
        <w:spacing w:after="0" w:line="240" w:lineRule="auto"/>
        <w:rPr>
          <w:rFonts w:cstheme="minorHAnsi"/>
          <w:sz w:val="20"/>
          <w:szCs w:val="20"/>
        </w:rPr>
      </w:pPr>
    </w:p>
    <w:p w14:paraId="280D84C1" w14:textId="77777777" w:rsidR="00FF4EE1" w:rsidRPr="00721BEB" w:rsidRDefault="00FF4EE1" w:rsidP="00D96399">
      <w:pPr>
        <w:autoSpaceDE w:val="0"/>
        <w:autoSpaceDN w:val="0"/>
        <w:adjustRightInd w:val="0"/>
        <w:spacing w:after="0" w:line="240" w:lineRule="auto"/>
        <w:ind w:left="720"/>
        <w:rPr>
          <w:rFonts w:cstheme="minorHAnsi"/>
          <w:color w:val="000000"/>
          <w:sz w:val="20"/>
          <w:szCs w:val="20"/>
        </w:rPr>
      </w:pPr>
      <w:r w:rsidRPr="00721BEB">
        <w:rPr>
          <w:rFonts w:cstheme="minorHAnsi"/>
          <w:color w:val="000000"/>
          <w:sz w:val="20"/>
          <w:szCs w:val="20"/>
        </w:rPr>
        <w:t>601 6010 Radio broadcasting</w:t>
      </w:r>
    </w:p>
    <w:p w14:paraId="29AAB84E" w14:textId="77777777" w:rsidR="00FF4EE1" w:rsidRPr="00721BEB" w:rsidRDefault="00FF4EE1" w:rsidP="00D96399">
      <w:pPr>
        <w:autoSpaceDE w:val="0"/>
        <w:autoSpaceDN w:val="0"/>
        <w:adjustRightInd w:val="0"/>
        <w:spacing w:after="0" w:line="240" w:lineRule="auto"/>
        <w:ind w:left="720"/>
        <w:rPr>
          <w:rFonts w:cstheme="minorHAnsi"/>
          <w:color w:val="000000"/>
          <w:sz w:val="20"/>
          <w:szCs w:val="20"/>
        </w:rPr>
      </w:pPr>
      <w:r w:rsidRPr="00721BEB">
        <w:rPr>
          <w:rFonts w:cstheme="minorHAnsi"/>
          <w:color w:val="000000"/>
          <w:sz w:val="20"/>
          <w:szCs w:val="20"/>
        </w:rPr>
        <w:t>602 6020 Television programming and broadcasting activities</w:t>
      </w:r>
    </w:p>
    <w:p w14:paraId="156D5A29" w14:textId="77777777" w:rsidR="00721BEB" w:rsidRDefault="00721BEB" w:rsidP="00FF4EE1">
      <w:pPr>
        <w:autoSpaceDE w:val="0"/>
        <w:autoSpaceDN w:val="0"/>
        <w:adjustRightInd w:val="0"/>
        <w:spacing w:after="0" w:line="240" w:lineRule="auto"/>
        <w:rPr>
          <w:rFonts w:cstheme="minorHAnsi"/>
          <w:color w:val="000000"/>
          <w:sz w:val="20"/>
          <w:szCs w:val="20"/>
        </w:rPr>
      </w:pPr>
    </w:p>
    <w:p w14:paraId="1F2897DC" w14:textId="77777777" w:rsidR="00EE64AE" w:rsidRPr="00EE64AE" w:rsidRDefault="00EE64AE" w:rsidP="00EE64AE">
      <w:pPr>
        <w:shd w:val="clear" w:color="auto" w:fill="D9D9D9" w:themeFill="background1" w:themeFillShade="D9"/>
        <w:autoSpaceDE w:val="0"/>
        <w:autoSpaceDN w:val="0"/>
        <w:adjustRightInd w:val="0"/>
        <w:spacing w:after="0" w:line="240" w:lineRule="auto"/>
        <w:rPr>
          <w:rFonts w:cstheme="minorHAnsi"/>
          <w:color w:val="000000"/>
          <w:sz w:val="20"/>
          <w:szCs w:val="20"/>
        </w:rPr>
      </w:pPr>
      <w:r w:rsidRPr="00EE64AE">
        <w:rPr>
          <w:rFonts w:cstheme="minorHAnsi"/>
          <w:color w:val="000000"/>
          <w:sz w:val="20"/>
          <w:szCs w:val="20"/>
        </w:rPr>
        <w:t>Division: 61 - Telecommunications</w:t>
      </w:r>
    </w:p>
    <w:p w14:paraId="735698E7" w14:textId="77777777" w:rsidR="00EE64AE" w:rsidRDefault="00EE64AE" w:rsidP="00EE64AE">
      <w:pPr>
        <w:shd w:val="clear" w:color="auto" w:fill="FFFFFF"/>
        <w:rPr>
          <w:rFonts w:ascii="Verdana" w:hAnsi="Verdana"/>
          <w:color w:val="000000"/>
          <w:sz w:val="17"/>
          <w:szCs w:val="17"/>
        </w:rPr>
      </w:pPr>
      <w:r>
        <w:rPr>
          <w:rFonts w:ascii="Verdana" w:hAnsi="Verdana"/>
          <w:color w:val="000000"/>
          <w:sz w:val="17"/>
          <w:szCs w:val="17"/>
        </w:rPr>
        <w:t>This division includes the activities of providing telecommunications and related service activities, i.e. transmitting voice, data, text, sound and video. The transmission facilities that carry out these activities may be based on a single technology or a combination of technologies. The commonality of activities classified in this division is the transmission of content, without being involved in its creation. The breakdown in this division is based on the type of infrastructure operated.</w:t>
      </w:r>
    </w:p>
    <w:p w14:paraId="5C34C8C8" w14:textId="77777777" w:rsidR="00EE64AE" w:rsidRDefault="00EE64AE" w:rsidP="00EE64AE">
      <w:pPr>
        <w:shd w:val="clear" w:color="auto" w:fill="FFFFFF"/>
        <w:rPr>
          <w:rFonts w:ascii="Verdana" w:hAnsi="Verdana"/>
          <w:color w:val="000000"/>
          <w:sz w:val="17"/>
          <w:szCs w:val="17"/>
        </w:rPr>
      </w:pPr>
      <w:r>
        <w:rPr>
          <w:rFonts w:ascii="Verdana" w:hAnsi="Verdana"/>
          <w:color w:val="000000"/>
          <w:sz w:val="17"/>
          <w:szCs w:val="17"/>
        </w:rPr>
        <w:t xml:space="preserve">In the case of transmission of television signals this may include the bundling of complete programming channels (produced in division 60) in to </w:t>
      </w:r>
      <w:proofErr w:type="spellStart"/>
      <w:r>
        <w:rPr>
          <w:rFonts w:ascii="Verdana" w:hAnsi="Verdana"/>
          <w:color w:val="000000"/>
          <w:sz w:val="17"/>
          <w:szCs w:val="17"/>
        </w:rPr>
        <w:t>programme</w:t>
      </w:r>
      <w:proofErr w:type="spellEnd"/>
      <w:r>
        <w:rPr>
          <w:rFonts w:ascii="Verdana" w:hAnsi="Verdana"/>
          <w:color w:val="000000"/>
          <w:sz w:val="17"/>
          <w:szCs w:val="17"/>
        </w:rPr>
        <w:t xml:space="preserve"> packages for distribution.</w:t>
      </w:r>
    </w:p>
    <w:p w14:paraId="70078C07" w14:textId="77777777" w:rsidR="003D6F5F" w:rsidRPr="003D6F5F" w:rsidRDefault="003D6F5F" w:rsidP="003D6F5F">
      <w:pPr>
        <w:autoSpaceDE w:val="0"/>
        <w:autoSpaceDN w:val="0"/>
        <w:adjustRightInd w:val="0"/>
        <w:spacing w:after="0" w:line="240" w:lineRule="auto"/>
        <w:ind w:left="720"/>
        <w:rPr>
          <w:rFonts w:cstheme="minorHAnsi"/>
          <w:color w:val="000000"/>
          <w:sz w:val="20"/>
          <w:szCs w:val="20"/>
        </w:rPr>
      </w:pPr>
      <w:r w:rsidRPr="003D6F5F">
        <w:rPr>
          <w:rFonts w:cstheme="minorHAnsi"/>
          <w:color w:val="000000"/>
          <w:sz w:val="20"/>
          <w:szCs w:val="20"/>
        </w:rPr>
        <w:t>611 6110 Wired telecommunications activities</w:t>
      </w:r>
    </w:p>
    <w:p w14:paraId="6C93CD8B" w14:textId="77777777" w:rsidR="003D6F5F" w:rsidRPr="003D6F5F" w:rsidRDefault="003D6F5F" w:rsidP="003D6F5F">
      <w:pPr>
        <w:autoSpaceDE w:val="0"/>
        <w:autoSpaceDN w:val="0"/>
        <w:adjustRightInd w:val="0"/>
        <w:spacing w:after="0" w:line="240" w:lineRule="auto"/>
        <w:ind w:left="720"/>
        <w:rPr>
          <w:rFonts w:cstheme="minorHAnsi"/>
          <w:color w:val="000000"/>
          <w:sz w:val="20"/>
          <w:szCs w:val="20"/>
        </w:rPr>
      </w:pPr>
      <w:r w:rsidRPr="003D6F5F">
        <w:rPr>
          <w:rFonts w:cstheme="minorHAnsi"/>
          <w:color w:val="000000"/>
          <w:sz w:val="20"/>
          <w:szCs w:val="20"/>
        </w:rPr>
        <w:t>612 6120 Wireless telecommunications activities</w:t>
      </w:r>
    </w:p>
    <w:p w14:paraId="7D414800" w14:textId="77777777" w:rsidR="003D6F5F" w:rsidRPr="003D6F5F" w:rsidRDefault="003D6F5F" w:rsidP="003D6F5F">
      <w:pPr>
        <w:autoSpaceDE w:val="0"/>
        <w:autoSpaceDN w:val="0"/>
        <w:adjustRightInd w:val="0"/>
        <w:spacing w:after="0" w:line="240" w:lineRule="auto"/>
        <w:ind w:left="720"/>
        <w:rPr>
          <w:rFonts w:cstheme="minorHAnsi"/>
          <w:color w:val="000000"/>
          <w:sz w:val="20"/>
          <w:szCs w:val="20"/>
        </w:rPr>
      </w:pPr>
      <w:r w:rsidRPr="003D6F5F">
        <w:rPr>
          <w:rFonts w:cstheme="minorHAnsi"/>
          <w:color w:val="000000"/>
          <w:sz w:val="20"/>
          <w:szCs w:val="20"/>
        </w:rPr>
        <w:t>613 6130 Satellite telecommunications activities</w:t>
      </w:r>
    </w:p>
    <w:p w14:paraId="4C74279A" w14:textId="77777777" w:rsidR="00334537" w:rsidRDefault="003D6F5F" w:rsidP="003D6F5F">
      <w:pPr>
        <w:autoSpaceDE w:val="0"/>
        <w:autoSpaceDN w:val="0"/>
        <w:adjustRightInd w:val="0"/>
        <w:spacing w:after="0" w:line="240" w:lineRule="auto"/>
        <w:ind w:left="720"/>
        <w:rPr>
          <w:rFonts w:cstheme="minorHAnsi"/>
          <w:color w:val="000000"/>
          <w:sz w:val="20"/>
          <w:szCs w:val="20"/>
        </w:rPr>
      </w:pPr>
      <w:r w:rsidRPr="003D6F5F">
        <w:rPr>
          <w:rFonts w:cstheme="minorHAnsi"/>
          <w:color w:val="000000"/>
          <w:sz w:val="20"/>
          <w:szCs w:val="20"/>
        </w:rPr>
        <w:t>619 6190 Other telecommunications activities</w:t>
      </w:r>
    </w:p>
    <w:p w14:paraId="1F2025AD" w14:textId="77777777" w:rsidR="00334537" w:rsidRPr="00721BEB" w:rsidRDefault="00334537" w:rsidP="00FF4EE1">
      <w:pPr>
        <w:autoSpaceDE w:val="0"/>
        <w:autoSpaceDN w:val="0"/>
        <w:adjustRightInd w:val="0"/>
        <w:spacing w:after="0" w:line="240" w:lineRule="auto"/>
        <w:rPr>
          <w:rFonts w:cstheme="minorHAnsi"/>
          <w:color w:val="000000"/>
          <w:sz w:val="20"/>
          <w:szCs w:val="20"/>
        </w:rPr>
      </w:pPr>
    </w:p>
    <w:p w14:paraId="2F521273" w14:textId="77777777" w:rsidR="00FF4EE1" w:rsidRPr="00721BEB" w:rsidRDefault="00FF4EE1" w:rsidP="00721BEB">
      <w:pPr>
        <w:shd w:val="clear" w:color="auto" w:fill="D9D9D9" w:themeFill="background1" w:themeFillShade="D9"/>
        <w:autoSpaceDE w:val="0"/>
        <w:autoSpaceDN w:val="0"/>
        <w:adjustRightInd w:val="0"/>
        <w:spacing w:after="0" w:line="240" w:lineRule="auto"/>
        <w:rPr>
          <w:rFonts w:cstheme="minorHAnsi"/>
          <w:color w:val="000000"/>
          <w:sz w:val="20"/>
          <w:szCs w:val="20"/>
        </w:rPr>
      </w:pPr>
      <w:r w:rsidRPr="00721BEB">
        <w:rPr>
          <w:rFonts w:cstheme="minorHAnsi"/>
          <w:color w:val="000000"/>
          <w:sz w:val="20"/>
          <w:szCs w:val="20"/>
        </w:rPr>
        <w:t>Division 63 Information service activities</w:t>
      </w:r>
    </w:p>
    <w:p w14:paraId="7A9A8CE2" w14:textId="77777777" w:rsidR="00721BEB" w:rsidRPr="00FE4C84" w:rsidRDefault="00FE4C84" w:rsidP="00721BEB">
      <w:pPr>
        <w:autoSpaceDE w:val="0"/>
        <w:autoSpaceDN w:val="0"/>
        <w:adjustRightInd w:val="0"/>
        <w:spacing w:after="0" w:line="240" w:lineRule="auto"/>
        <w:rPr>
          <w:rFonts w:cstheme="minorHAnsi"/>
          <w:color w:val="000000"/>
          <w:sz w:val="20"/>
          <w:szCs w:val="20"/>
          <w:shd w:val="clear" w:color="auto" w:fill="FFFFFF"/>
        </w:rPr>
      </w:pPr>
      <w:r w:rsidRPr="00FE4C84">
        <w:rPr>
          <w:rFonts w:cstheme="minorHAnsi"/>
          <w:color w:val="000000"/>
          <w:sz w:val="20"/>
          <w:szCs w:val="20"/>
          <w:shd w:val="clear" w:color="auto" w:fill="FFFFFF"/>
        </w:rPr>
        <w:t>This division includes the activities of web search portals, data processing and hosting activities, as well as other activities that primarily supply information.</w:t>
      </w:r>
    </w:p>
    <w:p w14:paraId="161BA268" w14:textId="77777777" w:rsidR="00FE4C84" w:rsidRPr="00721BEB" w:rsidRDefault="00FE4C84" w:rsidP="00721BEB">
      <w:pPr>
        <w:autoSpaceDE w:val="0"/>
        <w:autoSpaceDN w:val="0"/>
        <w:adjustRightInd w:val="0"/>
        <w:spacing w:after="0" w:line="240" w:lineRule="auto"/>
        <w:rPr>
          <w:rFonts w:cstheme="minorHAnsi"/>
          <w:sz w:val="20"/>
          <w:szCs w:val="20"/>
        </w:rPr>
      </w:pPr>
    </w:p>
    <w:p w14:paraId="3D321D43" w14:textId="77777777" w:rsidR="00FF4EE1" w:rsidRPr="00721BEB" w:rsidRDefault="00FF4EE1" w:rsidP="00D96399">
      <w:pPr>
        <w:autoSpaceDE w:val="0"/>
        <w:autoSpaceDN w:val="0"/>
        <w:adjustRightInd w:val="0"/>
        <w:spacing w:after="0" w:line="240" w:lineRule="auto"/>
        <w:ind w:left="720"/>
        <w:rPr>
          <w:rFonts w:cstheme="minorHAnsi"/>
          <w:color w:val="000000"/>
          <w:sz w:val="20"/>
          <w:szCs w:val="20"/>
        </w:rPr>
      </w:pPr>
      <w:r w:rsidRPr="00721BEB">
        <w:rPr>
          <w:rFonts w:cstheme="minorHAnsi"/>
          <w:color w:val="000000"/>
          <w:sz w:val="20"/>
          <w:szCs w:val="20"/>
        </w:rPr>
        <w:t>631 Data processing, hosting and related activities; web portals</w:t>
      </w:r>
    </w:p>
    <w:p w14:paraId="469976FF" w14:textId="77777777" w:rsidR="00FF4EE1" w:rsidRPr="00721BEB" w:rsidRDefault="00FF4EE1" w:rsidP="00D96399">
      <w:pPr>
        <w:autoSpaceDE w:val="0"/>
        <w:autoSpaceDN w:val="0"/>
        <w:adjustRightInd w:val="0"/>
        <w:spacing w:after="0" w:line="240" w:lineRule="auto"/>
        <w:ind w:left="1440"/>
        <w:rPr>
          <w:rFonts w:cstheme="minorHAnsi"/>
          <w:color w:val="000000"/>
          <w:sz w:val="20"/>
          <w:szCs w:val="20"/>
        </w:rPr>
      </w:pPr>
      <w:r w:rsidRPr="00721BEB">
        <w:rPr>
          <w:rFonts w:cstheme="minorHAnsi"/>
          <w:color w:val="000000"/>
          <w:sz w:val="20"/>
          <w:szCs w:val="20"/>
        </w:rPr>
        <w:t>6311 Data processing, hosting and related activities</w:t>
      </w:r>
    </w:p>
    <w:p w14:paraId="0876DE72" w14:textId="77777777" w:rsidR="00FF4EE1" w:rsidRPr="00721BEB" w:rsidRDefault="00FF4EE1" w:rsidP="00D96399">
      <w:pPr>
        <w:autoSpaceDE w:val="0"/>
        <w:autoSpaceDN w:val="0"/>
        <w:adjustRightInd w:val="0"/>
        <w:spacing w:after="0" w:line="240" w:lineRule="auto"/>
        <w:ind w:left="1440"/>
        <w:rPr>
          <w:rFonts w:cstheme="minorHAnsi"/>
          <w:color w:val="000000"/>
          <w:sz w:val="20"/>
          <w:szCs w:val="20"/>
        </w:rPr>
      </w:pPr>
      <w:r w:rsidRPr="00721BEB">
        <w:rPr>
          <w:rFonts w:cstheme="minorHAnsi"/>
          <w:color w:val="000000"/>
          <w:sz w:val="20"/>
          <w:szCs w:val="20"/>
        </w:rPr>
        <w:t>6312 Web portals</w:t>
      </w:r>
    </w:p>
    <w:p w14:paraId="53406BAB" w14:textId="77777777" w:rsidR="00FF4EE1" w:rsidRPr="00721BEB" w:rsidRDefault="00FF4EE1" w:rsidP="00721BEB">
      <w:pPr>
        <w:autoSpaceDE w:val="0"/>
        <w:autoSpaceDN w:val="0"/>
        <w:adjustRightInd w:val="0"/>
        <w:spacing w:after="0" w:line="240" w:lineRule="auto"/>
        <w:ind w:firstLine="720"/>
        <w:rPr>
          <w:rFonts w:cstheme="minorHAnsi"/>
          <w:color w:val="000000"/>
          <w:sz w:val="20"/>
          <w:szCs w:val="20"/>
        </w:rPr>
      </w:pPr>
      <w:r w:rsidRPr="00721BEB">
        <w:rPr>
          <w:rFonts w:cstheme="minorHAnsi"/>
          <w:color w:val="000000"/>
          <w:sz w:val="20"/>
          <w:szCs w:val="20"/>
        </w:rPr>
        <w:t>639 Other information service activities</w:t>
      </w:r>
    </w:p>
    <w:p w14:paraId="696F580F" w14:textId="77777777" w:rsidR="00FF4EE1" w:rsidRPr="00721BEB" w:rsidRDefault="00FF4EE1" w:rsidP="00721BEB">
      <w:pPr>
        <w:autoSpaceDE w:val="0"/>
        <w:autoSpaceDN w:val="0"/>
        <w:adjustRightInd w:val="0"/>
        <w:spacing w:after="0" w:line="240" w:lineRule="auto"/>
        <w:ind w:left="720" w:firstLine="720"/>
        <w:rPr>
          <w:rFonts w:cstheme="minorHAnsi"/>
          <w:color w:val="000000"/>
          <w:sz w:val="20"/>
          <w:szCs w:val="20"/>
        </w:rPr>
      </w:pPr>
      <w:r w:rsidRPr="00721BEB">
        <w:rPr>
          <w:rFonts w:cstheme="minorHAnsi"/>
          <w:color w:val="000000"/>
          <w:sz w:val="20"/>
          <w:szCs w:val="20"/>
        </w:rPr>
        <w:t>6391 News agency activities</w:t>
      </w:r>
    </w:p>
    <w:p w14:paraId="6F922897" w14:textId="77777777" w:rsidR="00861C83" w:rsidRPr="00721BEB" w:rsidRDefault="00FF4EE1" w:rsidP="00D96399">
      <w:pPr>
        <w:pStyle w:val="ListParagraph"/>
        <w:rPr>
          <w:rFonts w:cstheme="minorHAnsi"/>
          <w:sz w:val="20"/>
          <w:szCs w:val="20"/>
        </w:rPr>
      </w:pPr>
      <w:r w:rsidRPr="00721BEB">
        <w:rPr>
          <w:rFonts w:cstheme="minorHAnsi"/>
          <w:color w:val="000000"/>
          <w:sz w:val="20"/>
          <w:szCs w:val="20"/>
        </w:rPr>
        <w:t xml:space="preserve">6399 Other information service activities </w:t>
      </w:r>
      <w:proofErr w:type="spellStart"/>
      <w:r w:rsidRPr="00721BEB">
        <w:rPr>
          <w:rFonts w:cstheme="minorHAnsi"/>
          <w:color w:val="000000"/>
          <w:sz w:val="20"/>
          <w:szCs w:val="20"/>
        </w:rPr>
        <w:t>n.e.c</w:t>
      </w:r>
      <w:proofErr w:type="spellEnd"/>
      <w:r w:rsidRPr="00721BEB">
        <w:rPr>
          <w:rFonts w:cstheme="minorHAnsi"/>
          <w:color w:val="000000"/>
          <w:sz w:val="20"/>
          <w:szCs w:val="20"/>
        </w:rPr>
        <w:t>.</w:t>
      </w:r>
    </w:p>
    <w:p w14:paraId="552C0D55" w14:textId="77777777" w:rsidR="00300B2C" w:rsidRPr="00721BEB" w:rsidRDefault="00300B2C" w:rsidP="00030072">
      <w:pPr>
        <w:rPr>
          <w:sz w:val="20"/>
          <w:szCs w:val="20"/>
        </w:rPr>
      </w:pPr>
      <w:bookmarkStart w:id="0" w:name="_GoBack"/>
      <w:bookmarkEnd w:id="0"/>
    </w:p>
    <w:sectPr w:rsidR="00300B2C" w:rsidRPr="00721BE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ADF1C" w14:textId="77777777" w:rsidR="009D0C98" w:rsidRDefault="009D0C98" w:rsidP="003979B6">
      <w:pPr>
        <w:spacing w:after="0" w:line="240" w:lineRule="auto"/>
      </w:pPr>
      <w:r>
        <w:separator/>
      </w:r>
    </w:p>
  </w:endnote>
  <w:endnote w:type="continuationSeparator" w:id="0">
    <w:p w14:paraId="2AEFF71A" w14:textId="77777777" w:rsidR="009D0C98" w:rsidRDefault="009D0C98" w:rsidP="0039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yriadPro-Semibold">
    <w:altName w:val="Calibri"/>
    <w:panose1 w:val="00000000000000000000"/>
    <w:charset w:val="00"/>
    <w:family w:val="swiss"/>
    <w:notTrueType/>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53FC3" w14:textId="77777777" w:rsidR="009D0C98" w:rsidRDefault="009D0C98" w:rsidP="003979B6">
      <w:pPr>
        <w:spacing w:after="0" w:line="240" w:lineRule="auto"/>
      </w:pPr>
      <w:r>
        <w:separator/>
      </w:r>
    </w:p>
  </w:footnote>
  <w:footnote w:type="continuationSeparator" w:id="0">
    <w:p w14:paraId="3F6B1FE1" w14:textId="77777777" w:rsidR="009D0C98" w:rsidRDefault="009D0C98" w:rsidP="00397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3840C" w14:textId="77777777" w:rsidR="003979B6" w:rsidRDefault="003979B6">
    <w:pPr>
      <w:pStyle w:val="Header"/>
    </w:pPr>
    <w:r>
      <w:rPr>
        <w:noProof/>
      </w:rPr>
      <w:drawing>
        <wp:inline distT="0" distB="0" distL="0" distR="0" wp14:anchorId="22AB3CC5" wp14:editId="1E471335">
          <wp:extent cx="1828800" cy="6114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ap_logo.jpg"/>
                  <pic:cNvPicPr/>
                </pic:nvPicPr>
                <pic:blipFill>
                  <a:blip r:embed="rId1">
                    <a:extLst>
                      <a:ext uri="{28A0092B-C50C-407E-A947-70E740481C1C}">
                        <a14:useLocalDpi xmlns:a14="http://schemas.microsoft.com/office/drawing/2010/main" val="0"/>
                      </a:ext>
                    </a:extLst>
                  </a:blip>
                  <a:stretch>
                    <a:fillRect/>
                  </a:stretch>
                </pic:blipFill>
                <pic:spPr>
                  <a:xfrm>
                    <a:off x="0" y="0"/>
                    <a:ext cx="1849388" cy="6182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02260"/>
    <w:multiLevelType w:val="hybridMultilevel"/>
    <w:tmpl w:val="BB728906"/>
    <w:lvl w:ilvl="0" w:tplc="76983D0E">
      <w:start w:val="1"/>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496506"/>
    <w:multiLevelType w:val="hybridMultilevel"/>
    <w:tmpl w:val="E58005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96D49"/>
    <w:multiLevelType w:val="hybridMultilevel"/>
    <w:tmpl w:val="8CC87B56"/>
    <w:lvl w:ilvl="0" w:tplc="61B6FBBA">
      <w:start w:val="1"/>
      <w:numFmt w:val="decimal"/>
      <w:lvlText w:val="%1."/>
      <w:lvlJc w:val="left"/>
      <w:pPr>
        <w:ind w:left="360" w:hanging="360"/>
      </w:pPr>
      <w:rPr>
        <w:b w:val="0"/>
      </w:rPr>
    </w:lvl>
    <w:lvl w:ilvl="1" w:tplc="04090017">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34101B0"/>
    <w:multiLevelType w:val="hybridMultilevel"/>
    <w:tmpl w:val="EE96B9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7A76D2"/>
    <w:multiLevelType w:val="hybridMultilevel"/>
    <w:tmpl w:val="5AA27DBE"/>
    <w:lvl w:ilvl="0" w:tplc="8430835C">
      <w:start w:val="1"/>
      <w:numFmt w:val="bullet"/>
      <w:lvlText w:val="▸"/>
      <w:lvlJc w:val="left"/>
      <w:pPr>
        <w:tabs>
          <w:tab w:val="num" w:pos="720"/>
        </w:tabs>
        <w:ind w:left="720" w:hanging="360"/>
      </w:pPr>
      <w:rPr>
        <w:rFonts w:ascii="MS Gothic" w:hAnsi="MS Gothic" w:hint="default"/>
      </w:rPr>
    </w:lvl>
    <w:lvl w:ilvl="1" w:tplc="FFFC16CC" w:tentative="1">
      <w:start w:val="1"/>
      <w:numFmt w:val="bullet"/>
      <w:lvlText w:val="▸"/>
      <w:lvlJc w:val="left"/>
      <w:pPr>
        <w:tabs>
          <w:tab w:val="num" w:pos="1440"/>
        </w:tabs>
        <w:ind w:left="1440" w:hanging="360"/>
      </w:pPr>
      <w:rPr>
        <w:rFonts w:ascii="MS Gothic" w:hAnsi="MS Gothic" w:hint="default"/>
      </w:rPr>
    </w:lvl>
    <w:lvl w:ilvl="2" w:tplc="152C8DC6" w:tentative="1">
      <w:start w:val="1"/>
      <w:numFmt w:val="bullet"/>
      <w:lvlText w:val="▸"/>
      <w:lvlJc w:val="left"/>
      <w:pPr>
        <w:tabs>
          <w:tab w:val="num" w:pos="2160"/>
        </w:tabs>
        <w:ind w:left="2160" w:hanging="360"/>
      </w:pPr>
      <w:rPr>
        <w:rFonts w:ascii="MS Gothic" w:hAnsi="MS Gothic" w:hint="default"/>
      </w:rPr>
    </w:lvl>
    <w:lvl w:ilvl="3" w:tplc="7DD27B92" w:tentative="1">
      <w:start w:val="1"/>
      <w:numFmt w:val="bullet"/>
      <w:lvlText w:val="▸"/>
      <w:lvlJc w:val="left"/>
      <w:pPr>
        <w:tabs>
          <w:tab w:val="num" w:pos="2880"/>
        </w:tabs>
        <w:ind w:left="2880" w:hanging="360"/>
      </w:pPr>
      <w:rPr>
        <w:rFonts w:ascii="MS Gothic" w:hAnsi="MS Gothic" w:hint="default"/>
      </w:rPr>
    </w:lvl>
    <w:lvl w:ilvl="4" w:tplc="0B10E794" w:tentative="1">
      <w:start w:val="1"/>
      <w:numFmt w:val="bullet"/>
      <w:lvlText w:val="▸"/>
      <w:lvlJc w:val="left"/>
      <w:pPr>
        <w:tabs>
          <w:tab w:val="num" w:pos="3600"/>
        </w:tabs>
        <w:ind w:left="3600" w:hanging="360"/>
      </w:pPr>
      <w:rPr>
        <w:rFonts w:ascii="MS Gothic" w:hAnsi="MS Gothic" w:hint="default"/>
      </w:rPr>
    </w:lvl>
    <w:lvl w:ilvl="5" w:tplc="CE0426DC" w:tentative="1">
      <w:start w:val="1"/>
      <w:numFmt w:val="bullet"/>
      <w:lvlText w:val="▸"/>
      <w:lvlJc w:val="left"/>
      <w:pPr>
        <w:tabs>
          <w:tab w:val="num" w:pos="4320"/>
        </w:tabs>
        <w:ind w:left="4320" w:hanging="360"/>
      </w:pPr>
      <w:rPr>
        <w:rFonts w:ascii="MS Gothic" w:hAnsi="MS Gothic" w:hint="default"/>
      </w:rPr>
    </w:lvl>
    <w:lvl w:ilvl="6" w:tplc="1938E98E" w:tentative="1">
      <w:start w:val="1"/>
      <w:numFmt w:val="bullet"/>
      <w:lvlText w:val="▸"/>
      <w:lvlJc w:val="left"/>
      <w:pPr>
        <w:tabs>
          <w:tab w:val="num" w:pos="5040"/>
        </w:tabs>
        <w:ind w:left="5040" w:hanging="360"/>
      </w:pPr>
      <w:rPr>
        <w:rFonts w:ascii="MS Gothic" w:hAnsi="MS Gothic" w:hint="default"/>
      </w:rPr>
    </w:lvl>
    <w:lvl w:ilvl="7" w:tplc="A0323AC8" w:tentative="1">
      <w:start w:val="1"/>
      <w:numFmt w:val="bullet"/>
      <w:lvlText w:val="▸"/>
      <w:lvlJc w:val="left"/>
      <w:pPr>
        <w:tabs>
          <w:tab w:val="num" w:pos="5760"/>
        </w:tabs>
        <w:ind w:left="5760" w:hanging="360"/>
      </w:pPr>
      <w:rPr>
        <w:rFonts w:ascii="MS Gothic" w:hAnsi="MS Gothic" w:hint="default"/>
      </w:rPr>
    </w:lvl>
    <w:lvl w:ilvl="8" w:tplc="591E3486" w:tentative="1">
      <w:start w:val="1"/>
      <w:numFmt w:val="bullet"/>
      <w:lvlText w:val="▸"/>
      <w:lvlJc w:val="left"/>
      <w:pPr>
        <w:tabs>
          <w:tab w:val="num" w:pos="6480"/>
        </w:tabs>
        <w:ind w:left="6480" w:hanging="360"/>
      </w:pPr>
      <w:rPr>
        <w:rFonts w:ascii="MS Gothic" w:hAnsi="MS Gothic" w:hint="default"/>
      </w:rPr>
    </w:lvl>
  </w:abstractNum>
  <w:abstractNum w:abstractNumId="5" w15:restartNumberingAfterBreak="0">
    <w:nsid w:val="40B04F4B"/>
    <w:multiLevelType w:val="hybridMultilevel"/>
    <w:tmpl w:val="CF2E99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FB4207"/>
    <w:multiLevelType w:val="multilevel"/>
    <w:tmpl w:val="8580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7E551D"/>
    <w:multiLevelType w:val="hybridMultilevel"/>
    <w:tmpl w:val="759C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A25D85"/>
    <w:multiLevelType w:val="hybridMultilevel"/>
    <w:tmpl w:val="1FA69F12"/>
    <w:lvl w:ilvl="0" w:tplc="EBCC97EE">
      <w:start w:val="1"/>
      <w:numFmt w:val="bullet"/>
      <w:lvlText w:val="▸"/>
      <w:lvlJc w:val="left"/>
      <w:pPr>
        <w:tabs>
          <w:tab w:val="num" w:pos="720"/>
        </w:tabs>
        <w:ind w:left="720" w:hanging="360"/>
      </w:pPr>
      <w:rPr>
        <w:rFonts w:ascii="MS Gothic" w:hAnsi="MS Gothic" w:hint="default"/>
      </w:rPr>
    </w:lvl>
    <w:lvl w:ilvl="1" w:tplc="FB20925E" w:tentative="1">
      <w:start w:val="1"/>
      <w:numFmt w:val="bullet"/>
      <w:lvlText w:val="▸"/>
      <w:lvlJc w:val="left"/>
      <w:pPr>
        <w:tabs>
          <w:tab w:val="num" w:pos="1440"/>
        </w:tabs>
        <w:ind w:left="1440" w:hanging="360"/>
      </w:pPr>
      <w:rPr>
        <w:rFonts w:ascii="MS Gothic" w:hAnsi="MS Gothic" w:hint="default"/>
      </w:rPr>
    </w:lvl>
    <w:lvl w:ilvl="2" w:tplc="A08A6A0C" w:tentative="1">
      <w:start w:val="1"/>
      <w:numFmt w:val="bullet"/>
      <w:lvlText w:val="▸"/>
      <w:lvlJc w:val="left"/>
      <w:pPr>
        <w:tabs>
          <w:tab w:val="num" w:pos="2160"/>
        </w:tabs>
        <w:ind w:left="2160" w:hanging="360"/>
      </w:pPr>
      <w:rPr>
        <w:rFonts w:ascii="MS Gothic" w:hAnsi="MS Gothic" w:hint="default"/>
      </w:rPr>
    </w:lvl>
    <w:lvl w:ilvl="3" w:tplc="C45CB084" w:tentative="1">
      <w:start w:val="1"/>
      <w:numFmt w:val="bullet"/>
      <w:lvlText w:val="▸"/>
      <w:lvlJc w:val="left"/>
      <w:pPr>
        <w:tabs>
          <w:tab w:val="num" w:pos="2880"/>
        </w:tabs>
        <w:ind w:left="2880" w:hanging="360"/>
      </w:pPr>
      <w:rPr>
        <w:rFonts w:ascii="MS Gothic" w:hAnsi="MS Gothic" w:hint="default"/>
      </w:rPr>
    </w:lvl>
    <w:lvl w:ilvl="4" w:tplc="6B82DA7A" w:tentative="1">
      <w:start w:val="1"/>
      <w:numFmt w:val="bullet"/>
      <w:lvlText w:val="▸"/>
      <w:lvlJc w:val="left"/>
      <w:pPr>
        <w:tabs>
          <w:tab w:val="num" w:pos="3600"/>
        </w:tabs>
        <w:ind w:left="3600" w:hanging="360"/>
      </w:pPr>
      <w:rPr>
        <w:rFonts w:ascii="MS Gothic" w:hAnsi="MS Gothic" w:hint="default"/>
      </w:rPr>
    </w:lvl>
    <w:lvl w:ilvl="5" w:tplc="1CBE1E9A" w:tentative="1">
      <w:start w:val="1"/>
      <w:numFmt w:val="bullet"/>
      <w:lvlText w:val="▸"/>
      <w:lvlJc w:val="left"/>
      <w:pPr>
        <w:tabs>
          <w:tab w:val="num" w:pos="4320"/>
        </w:tabs>
        <w:ind w:left="4320" w:hanging="360"/>
      </w:pPr>
      <w:rPr>
        <w:rFonts w:ascii="MS Gothic" w:hAnsi="MS Gothic" w:hint="default"/>
      </w:rPr>
    </w:lvl>
    <w:lvl w:ilvl="6" w:tplc="504620D8" w:tentative="1">
      <w:start w:val="1"/>
      <w:numFmt w:val="bullet"/>
      <w:lvlText w:val="▸"/>
      <w:lvlJc w:val="left"/>
      <w:pPr>
        <w:tabs>
          <w:tab w:val="num" w:pos="5040"/>
        </w:tabs>
        <w:ind w:left="5040" w:hanging="360"/>
      </w:pPr>
      <w:rPr>
        <w:rFonts w:ascii="MS Gothic" w:hAnsi="MS Gothic" w:hint="default"/>
      </w:rPr>
    </w:lvl>
    <w:lvl w:ilvl="7" w:tplc="40B24D1C" w:tentative="1">
      <w:start w:val="1"/>
      <w:numFmt w:val="bullet"/>
      <w:lvlText w:val="▸"/>
      <w:lvlJc w:val="left"/>
      <w:pPr>
        <w:tabs>
          <w:tab w:val="num" w:pos="5760"/>
        </w:tabs>
        <w:ind w:left="5760" w:hanging="360"/>
      </w:pPr>
      <w:rPr>
        <w:rFonts w:ascii="MS Gothic" w:hAnsi="MS Gothic" w:hint="default"/>
      </w:rPr>
    </w:lvl>
    <w:lvl w:ilvl="8" w:tplc="B11875C6" w:tentative="1">
      <w:start w:val="1"/>
      <w:numFmt w:val="bullet"/>
      <w:lvlText w:val="▸"/>
      <w:lvlJc w:val="left"/>
      <w:pPr>
        <w:tabs>
          <w:tab w:val="num" w:pos="6480"/>
        </w:tabs>
        <w:ind w:left="6480" w:hanging="360"/>
      </w:pPr>
      <w:rPr>
        <w:rFonts w:ascii="MS Gothic" w:hAnsi="MS Gothic" w:hint="default"/>
      </w:rPr>
    </w:lvl>
  </w:abstractNum>
  <w:abstractNum w:abstractNumId="9" w15:restartNumberingAfterBreak="0">
    <w:nsid w:val="76EC0628"/>
    <w:multiLevelType w:val="multilevel"/>
    <w:tmpl w:val="9BB2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4"/>
  </w:num>
  <w:num w:numId="4">
    <w:abstractNumId w:val="2"/>
  </w:num>
  <w:num w:numId="5">
    <w:abstractNumId w:val="3"/>
  </w:num>
  <w:num w:numId="6">
    <w:abstractNumId w:val="5"/>
  </w:num>
  <w:num w:numId="7">
    <w:abstractNumId w:val="7"/>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7F8"/>
    <w:rsid w:val="00030072"/>
    <w:rsid w:val="000628BA"/>
    <w:rsid w:val="000847F8"/>
    <w:rsid w:val="000B3819"/>
    <w:rsid w:val="00101B75"/>
    <w:rsid w:val="001049FD"/>
    <w:rsid w:val="001056B2"/>
    <w:rsid w:val="00111647"/>
    <w:rsid w:val="00122729"/>
    <w:rsid w:val="00136FC8"/>
    <w:rsid w:val="0014483A"/>
    <w:rsid w:val="00166424"/>
    <w:rsid w:val="00170CE5"/>
    <w:rsid w:val="00193A72"/>
    <w:rsid w:val="001B1204"/>
    <w:rsid w:val="001B6401"/>
    <w:rsid w:val="00216D87"/>
    <w:rsid w:val="0025256C"/>
    <w:rsid w:val="00267448"/>
    <w:rsid w:val="002A2007"/>
    <w:rsid w:val="002A5290"/>
    <w:rsid w:val="002F7AC3"/>
    <w:rsid w:val="00300B2C"/>
    <w:rsid w:val="00315F63"/>
    <w:rsid w:val="00316216"/>
    <w:rsid w:val="00316775"/>
    <w:rsid w:val="00334537"/>
    <w:rsid w:val="0033769F"/>
    <w:rsid w:val="00347223"/>
    <w:rsid w:val="00362424"/>
    <w:rsid w:val="00381D6E"/>
    <w:rsid w:val="003979B6"/>
    <w:rsid w:val="003B1F67"/>
    <w:rsid w:val="003B6B97"/>
    <w:rsid w:val="003D6F5F"/>
    <w:rsid w:val="004060D1"/>
    <w:rsid w:val="00433AE3"/>
    <w:rsid w:val="00440874"/>
    <w:rsid w:val="00462E2B"/>
    <w:rsid w:val="00483578"/>
    <w:rsid w:val="0049566E"/>
    <w:rsid w:val="004958DB"/>
    <w:rsid w:val="004F2D46"/>
    <w:rsid w:val="005002A2"/>
    <w:rsid w:val="00516684"/>
    <w:rsid w:val="00526BFA"/>
    <w:rsid w:val="00541168"/>
    <w:rsid w:val="0059579E"/>
    <w:rsid w:val="00596151"/>
    <w:rsid w:val="005D5BB4"/>
    <w:rsid w:val="005E5D29"/>
    <w:rsid w:val="0063190E"/>
    <w:rsid w:val="00673D92"/>
    <w:rsid w:val="00674252"/>
    <w:rsid w:val="00697E43"/>
    <w:rsid w:val="006B7C2E"/>
    <w:rsid w:val="006E64DA"/>
    <w:rsid w:val="007069BD"/>
    <w:rsid w:val="0071709E"/>
    <w:rsid w:val="00721BEB"/>
    <w:rsid w:val="00756172"/>
    <w:rsid w:val="0076224E"/>
    <w:rsid w:val="0076364D"/>
    <w:rsid w:val="0077340D"/>
    <w:rsid w:val="007911BB"/>
    <w:rsid w:val="00861C83"/>
    <w:rsid w:val="00864427"/>
    <w:rsid w:val="00876F81"/>
    <w:rsid w:val="00894A96"/>
    <w:rsid w:val="008A4D63"/>
    <w:rsid w:val="008D7138"/>
    <w:rsid w:val="008F3CC6"/>
    <w:rsid w:val="008F45A6"/>
    <w:rsid w:val="00974C1C"/>
    <w:rsid w:val="009844A9"/>
    <w:rsid w:val="009A24A2"/>
    <w:rsid w:val="009B2DEF"/>
    <w:rsid w:val="009C2982"/>
    <w:rsid w:val="009D0C98"/>
    <w:rsid w:val="00A55614"/>
    <w:rsid w:val="00AB6003"/>
    <w:rsid w:val="00AD0D96"/>
    <w:rsid w:val="00B277A8"/>
    <w:rsid w:val="00B51996"/>
    <w:rsid w:val="00B65751"/>
    <w:rsid w:val="00B80FE5"/>
    <w:rsid w:val="00B8130E"/>
    <w:rsid w:val="00BA13C1"/>
    <w:rsid w:val="00BA2FEF"/>
    <w:rsid w:val="00BE4E25"/>
    <w:rsid w:val="00BF4328"/>
    <w:rsid w:val="00C552AC"/>
    <w:rsid w:val="00C575F5"/>
    <w:rsid w:val="00C77D50"/>
    <w:rsid w:val="00C947FA"/>
    <w:rsid w:val="00D21796"/>
    <w:rsid w:val="00D32E7F"/>
    <w:rsid w:val="00D41FB3"/>
    <w:rsid w:val="00D50CEA"/>
    <w:rsid w:val="00D96399"/>
    <w:rsid w:val="00DD1779"/>
    <w:rsid w:val="00DD2E9E"/>
    <w:rsid w:val="00DD6C3A"/>
    <w:rsid w:val="00E2415D"/>
    <w:rsid w:val="00E30CE7"/>
    <w:rsid w:val="00E71576"/>
    <w:rsid w:val="00E72DFC"/>
    <w:rsid w:val="00EC0BB7"/>
    <w:rsid w:val="00EE64AE"/>
    <w:rsid w:val="00F26E82"/>
    <w:rsid w:val="00F52934"/>
    <w:rsid w:val="00F74F48"/>
    <w:rsid w:val="00F86771"/>
    <w:rsid w:val="00FB2982"/>
    <w:rsid w:val="00FD5879"/>
    <w:rsid w:val="00FE4C84"/>
    <w:rsid w:val="00FF4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81CED8"/>
  <w15:chartTrackingRefBased/>
  <w15:docId w15:val="{A47D2DAD-B645-48BB-85B6-206099F0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7F8"/>
    <w:pPr>
      <w:ind w:left="720"/>
      <w:contextualSpacing/>
    </w:pPr>
  </w:style>
  <w:style w:type="paragraph" w:styleId="Header">
    <w:name w:val="header"/>
    <w:basedOn w:val="Normal"/>
    <w:link w:val="HeaderChar"/>
    <w:uiPriority w:val="99"/>
    <w:unhideWhenUsed/>
    <w:rsid w:val="00397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9B6"/>
  </w:style>
  <w:style w:type="paragraph" w:styleId="Footer">
    <w:name w:val="footer"/>
    <w:basedOn w:val="Normal"/>
    <w:link w:val="FooterChar"/>
    <w:uiPriority w:val="99"/>
    <w:unhideWhenUsed/>
    <w:rsid w:val="00397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9B6"/>
  </w:style>
  <w:style w:type="character" w:styleId="Hyperlink">
    <w:name w:val="Hyperlink"/>
    <w:basedOn w:val="DefaultParagraphFont"/>
    <w:uiPriority w:val="99"/>
    <w:unhideWhenUsed/>
    <w:rsid w:val="0025256C"/>
    <w:rPr>
      <w:color w:val="0563C1" w:themeColor="hyperlink"/>
      <w:u w:val="single"/>
    </w:rPr>
  </w:style>
  <w:style w:type="table" w:styleId="TableGrid">
    <w:name w:val="Table Grid"/>
    <w:basedOn w:val="TableNormal"/>
    <w:uiPriority w:val="39"/>
    <w:rsid w:val="009C2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E64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0848">
      <w:bodyDiv w:val="1"/>
      <w:marLeft w:val="0"/>
      <w:marRight w:val="0"/>
      <w:marTop w:val="0"/>
      <w:marBottom w:val="0"/>
      <w:divBdr>
        <w:top w:val="none" w:sz="0" w:space="0" w:color="auto"/>
        <w:left w:val="none" w:sz="0" w:space="0" w:color="auto"/>
        <w:bottom w:val="none" w:sz="0" w:space="0" w:color="auto"/>
        <w:right w:val="none" w:sz="0" w:space="0" w:color="auto"/>
      </w:divBdr>
      <w:divsChild>
        <w:div w:id="1297029307">
          <w:marLeft w:val="0"/>
          <w:marRight w:val="0"/>
          <w:marTop w:val="0"/>
          <w:marBottom w:val="0"/>
          <w:divBdr>
            <w:top w:val="none" w:sz="0" w:space="0" w:color="auto"/>
            <w:left w:val="none" w:sz="0" w:space="0" w:color="auto"/>
            <w:bottom w:val="none" w:sz="0" w:space="0" w:color="auto"/>
            <w:right w:val="none" w:sz="0" w:space="0" w:color="auto"/>
          </w:divBdr>
        </w:div>
        <w:div w:id="1529181873">
          <w:marLeft w:val="0"/>
          <w:marRight w:val="0"/>
          <w:marTop w:val="0"/>
          <w:marBottom w:val="0"/>
          <w:divBdr>
            <w:top w:val="none" w:sz="0" w:space="0" w:color="auto"/>
            <w:left w:val="none" w:sz="0" w:space="0" w:color="auto"/>
            <w:bottom w:val="none" w:sz="0" w:space="0" w:color="auto"/>
            <w:right w:val="none" w:sz="0" w:space="0" w:color="auto"/>
          </w:divBdr>
        </w:div>
      </w:divsChild>
    </w:div>
    <w:div w:id="1987395227">
      <w:bodyDiv w:val="1"/>
      <w:marLeft w:val="0"/>
      <w:marRight w:val="0"/>
      <w:marTop w:val="0"/>
      <w:marBottom w:val="0"/>
      <w:divBdr>
        <w:top w:val="none" w:sz="0" w:space="0" w:color="auto"/>
        <w:left w:val="none" w:sz="0" w:space="0" w:color="auto"/>
        <w:bottom w:val="none" w:sz="0" w:space="0" w:color="auto"/>
        <w:right w:val="none" w:sz="0" w:space="0" w:color="auto"/>
      </w:divBdr>
      <w:divsChild>
        <w:div w:id="228267453">
          <w:marLeft w:val="0"/>
          <w:marRight w:val="0"/>
          <w:marTop w:val="0"/>
          <w:marBottom w:val="0"/>
          <w:divBdr>
            <w:top w:val="none" w:sz="0" w:space="0" w:color="auto"/>
            <w:left w:val="none" w:sz="0" w:space="0" w:color="auto"/>
            <w:bottom w:val="none" w:sz="0" w:space="0" w:color="auto"/>
            <w:right w:val="none" w:sz="0" w:space="0" w:color="auto"/>
          </w:divBdr>
        </w:div>
        <w:div w:id="1893806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un115</dc:creator>
  <cp:keywords/>
  <dc:description/>
  <cp:lastModifiedBy>Evan Brand</cp:lastModifiedBy>
  <cp:revision>7</cp:revision>
  <dcterms:created xsi:type="dcterms:W3CDTF">2017-12-11T05:19:00Z</dcterms:created>
  <dcterms:modified xsi:type="dcterms:W3CDTF">2018-05-23T02:21:00Z</dcterms:modified>
</cp:coreProperties>
</file>