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4DF3" w:rsidRDefault="00FD4DF3"/>
    <w:p w:rsidR="00FD4DF3" w:rsidRPr="00014E9B" w:rsidRDefault="00FD4DF3" w:rsidP="00FD4DF3">
      <w:pPr>
        <w:rPr>
          <w:rFonts w:ascii="Calibri" w:eastAsia="Calibri" w:hAnsi="Calibri" w:cs="Calibri"/>
          <w:sz w:val="22"/>
          <w:szCs w:val="22"/>
        </w:rPr>
      </w:pPr>
    </w:p>
    <w:p w:rsidR="00FD4DF3" w:rsidRPr="00014E9B" w:rsidRDefault="00FD4DF3" w:rsidP="00FD4DF3">
      <w:pPr>
        <w:rPr>
          <w:rFonts w:ascii="Calibri" w:eastAsia="Calibri" w:hAnsi="Calibri" w:cs="Calibri"/>
          <w:sz w:val="22"/>
          <w:szCs w:val="22"/>
        </w:rPr>
      </w:pPr>
    </w:p>
    <w:p w:rsidR="00FD4DF3" w:rsidRPr="00014E9B" w:rsidRDefault="00FD4DF3" w:rsidP="00FD4DF3">
      <w:pPr>
        <w:jc w:val="center"/>
        <w:rPr>
          <w:rFonts w:ascii="Calibri" w:eastAsia="Calibri" w:hAnsi="Calibri" w:cs="Calibri"/>
          <w:sz w:val="22"/>
          <w:szCs w:val="22"/>
        </w:rPr>
      </w:pPr>
    </w:p>
    <w:p w:rsidR="00FD4DF3" w:rsidRPr="00014E9B" w:rsidRDefault="00FD4DF3" w:rsidP="00FD4DF3">
      <w:pPr>
        <w:jc w:val="center"/>
        <w:rPr>
          <w:rFonts w:ascii="Calibri" w:eastAsia="Calibri" w:hAnsi="Calibri" w:cs="Calibri"/>
          <w:sz w:val="22"/>
          <w:szCs w:val="22"/>
        </w:rPr>
      </w:pPr>
    </w:p>
    <w:p w:rsidR="00FD4DF3" w:rsidRPr="008D2330" w:rsidRDefault="00FD4DF3" w:rsidP="00FD4DF3">
      <w:pPr>
        <w:jc w:val="center"/>
        <w:rPr>
          <w:rFonts w:ascii="Calibri" w:hAnsi="Calibri" w:cs="Calibri"/>
          <w:b/>
          <w:sz w:val="52"/>
          <w:szCs w:val="52"/>
        </w:rPr>
      </w:pPr>
    </w:p>
    <w:p w:rsidR="008D2330" w:rsidRPr="008D2330" w:rsidRDefault="008D2330" w:rsidP="008D2330">
      <w:pPr>
        <w:jc w:val="center"/>
        <w:rPr>
          <w:rFonts w:ascii="Calibri" w:eastAsia="Calibri" w:hAnsi="Calibri" w:cs="Calibri"/>
          <w:sz w:val="52"/>
          <w:szCs w:val="52"/>
        </w:rPr>
      </w:pPr>
      <w:r w:rsidRPr="008D2330">
        <w:rPr>
          <w:rFonts w:ascii="Calibri" w:eastAsia="Calibri" w:hAnsi="Calibri" w:cs="Calibri"/>
          <w:sz w:val="52"/>
          <w:szCs w:val="52"/>
        </w:rPr>
        <w:t xml:space="preserve">Case study </w:t>
      </w:r>
      <w:r w:rsidR="002F7F6A">
        <w:rPr>
          <w:rFonts w:ascii="Calibri" w:eastAsia="Calibri" w:hAnsi="Calibri" w:cs="Calibri"/>
          <w:sz w:val="52"/>
          <w:szCs w:val="52"/>
        </w:rPr>
        <w:t>3</w:t>
      </w:r>
    </w:p>
    <w:p w:rsidR="00FD4DF3" w:rsidRPr="00014E9B" w:rsidRDefault="00FD4DF3" w:rsidP="00FD4DF3">
      <w:pPr>
        <w:jc w:val="center"/>
        <w:rPr>
          <w:rFonts w:ascii="Calibri" w:eastAsia="Calibri" w:hAnsi="Calibri" w:cs="Calibri"/>
          <w:sz w:val="22"/>
          <w:szCs w:val="22"/>
        </w:rPr>
      </w:pPr>
    </w:p>
    <w:p w:rsidR="00FD4DF3" w:rsidRPr="00014E9B" w:rsidRDefault="00FD4DF3" w:rsidP="00FD4DF3">
      <w:pPr>
        <w:jc w:val="center"/>
        <w:rPr>
          <w:rFonts w:ascii="Calibri" w:eastAsia="Calibri" w:hAnsi="Calibri" w:cs="Calibri"/>
          <w:sz w:val="22"/>
          <w:szCs w:val="22"/>
        </w:rPr>
      </w:pPr>
    </w:p>
    <w:p w:rsidR="00FD4DF3" w:rsidRPr="00014E9B" w:rsidRDefault="00FD4DF3" w:rsidP="00FD4DF3">
      <w:pPr>
        <w:jc w:val="center"/>
        <w:rPr>
          <w:rFonts w:ascii="Calibri" w:eastAsia="Calibri" w:hAnsi="Calibri" w:cs="Calibri"/>
          <w:sz w:val="22"/>
          <w:szCs w:val="22"/>
        </w:rPr>
      </w:pPr>
    </w:p>
    <w:p w:rsidR="00FD4DF3" w:rsidRPr="00014E9B" w:rsidRDefault="00FD4DF3" w:rsidP="00FD4DF3">
      <w:pPr>
        <w:jc w:val="center"/>
        <w:rPr>
          <w:rFonts w:ascii="Calibri" w:eastAsia="Calibri" w:hAnsi="Calibri" w:cs="Calibri"/>
          <w:sz w:val="22"/>
          <w:szCs w:val="22"/>
        </w:rPr>
      </w:pPr>
    </w:p>
    <w:p w:rsidR="00FD4DF3" w:rsidRPr="00014E9B" w:rsidRDefault="00FD4DF3" w:rsidP="00FD4DF3">
      <w:pPr>
        <w:jc w:val="center"/>
        <w:rPr>
          <w:rFonts w:ascii="Calibri" w:eastAsia="Calibri" w:hAnsi="Calibri" w:cs="Calibri"/>
          <w:sz w:val="22"/>
          <w:szCs w:val="22"/>
        </w:rPr>
      </w:pPr>
    </w:p>
    <w:p w:rsidR="00FD4DF3" w:rsidRPr="00014E9B" w:rsidRDefault="00FD4DF3" w:rsidP="00FD4DF3">
      <w:pPr>
        <w:jc w:val="center"/>
        <w:rPr>
          <w:rFonts w:ascii="Calibri" w:eastAsia="Calibri" w:hAnsi="Calibri" w:cs="Calibri"/>
          <w:sz w:val="22"/>
          <w:szCs w:val="22"/>
        </w:rPr>
      </w:pPr>
    </w:p>
    <w:p w:rsidR="00FD4DF3" w:rsidRPr="00014E9B" w:rsidRDefault="00FD4DF3" w:rsidP="00FD4DF3">
      <w:pPr>
        <w:jc w:val="center"/>
        <w:rPr>
          <w:rFonts w:ascii="Calibri" w:eastAsia="Calibri" w:hAnsi="Calibri" w:cs="Calibri"/>
          <w:sz w:val="22"/>
          <w:szCs w:val="22"/>
        </w:rPr>
      </w:pPr>
    </w:p>
    <w:p w:rsidR="00FD4DF3" w:rsidRPr="00014E9B" w:rsidRDefault="00FD4DF3" w:rsidP="00FD4DF3">
      <w:pPr>
        <w:rPr>
          <w:rFonts w:ascii="Calibri" w:eastAsia="Calibri" w:hAnsi="Calibri" w:cs="Calibri"/>
          <w:sz w:val="22"/>
          <w:szCs w:val="22"/>
        </w:rPr>
      </w:pPr>
    </w:p>
    <w:p w:rsidR="00FD4DF3" w:rsidRPr="00014E9B" w:rsidRDefault="00FD4DF3" w:rsidP="00FD4DF3">
      <w:pPr>
        <w:jc w:val="center"/>
        <w:rPr>
          <w:rFonts w:ascii="Calibri" w:eastAsia="Calibri" w:hAnsi="Calibri" w:cs="Calibri"/>
          <w:sz w:val="22"/>
          <w:szCs w:val="22"/>
        </w:rPr>
      </w:pPr>
    </w:p>
    <w:p w:rsidR="00FD4DF3" w:rsidRPr="00014E9B" w:rsidRDefault="00FD4DF3" w:rsidP="00FD4DF3">
      <w:pPr>
        <w:jc w:val="right"/>
        <w:rPr>
          <w:rFonts w:ascii="Calibri" w:eastAsia="Calibri" w:hAnsi="Calibri" w:cs="Calibri"/>
          <w:sz w:val="36"/>
          <w:szCs w:val="36"/>
        </w:rPr>
      </w:pPr>
      <w:r w:rsidRPr="00014E9B">
        <w:rPr>
          <w:rFonts w:ascii="Calibri" w:eastAsia="Calibri" w:hAnsi="Calibri" w:cs="Calibri"/>
          <w:sz w:val="36"/>
          <w:szCs w:val="36"/>
        </w:rPr>
        <w:t>Workshop of Quality on Statistics for SDG</w:t>
      </w:r>
    </w:p>
    <w:p w:rsidR="00FD4DF3" w:rsidRPr="00014E9B" w:rsidRDefault="0054074A" w:rsidP="00FD4DF3">
      <w:pPr>
        <w:jc w:val="right"/>
        <w:rPr>
          <w:rFonts w:ascii="Calibri" w:eastAsia="Calibri" w:hAnsi="Calibri" w:cs="Calibri"/>
          <w:sz w:val="36"/>
          <w:szCs w:val="36"/>
        </w:rPr>
      </w:pPr>
      <w:r>
        <w:rPr>
          <w:rFonts w:ascii="Calibri" w:eastAsia="Calibri" w:hAnsi="Calibri" w:cs="Calibri"/>
          <w:sz w:val="36"/>
          <w:szCs w:val="36"/>
        </w:rPr>
        <w:t>1</w:t>
      </w:r>
      <w:r w:rsidR="00FD4DF3" w:rsidRPr="00014E9B">
        <w:rPr>
          <w:rFonts w:ascii="Calibri" w:eastAsia="Calibri" w:hAnsi="Calibri" w:cs="Calibri"/>
          <w:sz w:val="36"/>
          <w:szCs w:val="36"/>
        </w:rPr>
        <w:t>3-</w:t>
      </w:r>
      <w:r>
        <w:rPr>
          <w:rFonts w:ascii="Calibri" w:eastAsia="Calibri" w:hAnsi="Calibri" w:cs="Calibri"/>
          <w:sz w:val="36"/>
          <w:szCs w:val="36"/>
        </w:rPr>
        <w:t>1</w:t>
      </w:r>
      <w:r w:rsidR="00FD4DF3" w:rsidRPr="00014E9B">
        <w:rPr>
          <w:rFonts w:ascii="Calibri" w:eastAsia="Calibri" w:hAnsi="Calibri" w:cs="Calibri"/>
          <w:sz w:val="36"/>
          <w:szCs w:val="36"/>
        </w:rPr>
        <w:t xml:space="preserve">5, </w:t>
      </w:r>
      <w:r>
        <w:rPr>
          <w:rFonts w:ascii="Calibri" w:eastAsia="Calibri" w:hAnsi="Calibri" w:cs="Calibri"/>
          <w:sz w:val="36"/>
          <w:szCs w:val="36"/>
        </w:rPr>
        <w:t>May</w:t>
      </w:r>
      <w:r w:rsidR="00FD4DF3" w:rsidRPr="00014E9B">
        <w:rPr>
          <w:rFonts w:ascii="Calibri" w:eastAsia="Calibri" w:hAnsi="Calibri" w:cs="Calibri"/>
          <w:sz w:val="36"/>
          <w:szCs w:val="36"/>
        </w:rPr>
        <w:t xml:space="preserve"> 201</w:t>
      </w:r>
      <w:r>
        <w:rPr>
          <w:rFonts w:ascii="Calibri" w:eastAsia="Calibri" w:hAnsi="Calibri" w:cs="Calibri"/>
          <w:sz w:val="36"/>
          <w:szCs w:val="36"/>
        </w:rPr>
        <w:t>9</w:t>
      </w:r>
    </w:p>
    <w:p w:rsidR="00FD4DF3" w:rsidRDefault="00FD4DF3" w:rsidP="00FD4DF3">
      <w:pPr>
        <w:jc w:val="right"/>
        <w:rPr>
          <w:rFonts w:ascii="Calibri" w:eastAsia="Calibri" w:hAnsi="Calibri" w:cs="Calibri"/>
          <w:sz w:val="36"/>
          <w:szCs w:val="36"/>
        </w:rPr>
      </w:pPr>
      <w:r w:rsidRPr="00014E9B">
        <w:rPr>
          <w:rFonts w:ascii="Calibri" w:eastAsia="Calibri" w:hAnsi="Calibri" w:cs="Calibri"/>
          <w:sz w:val="36"/>
          <w:szCs w:val="36"/>
        </w:rPr>
        <w:t>Chiba, Japan</w:t>
      </w:r>
    </w:p>
    <w:p w:rsidR="00385816" w:rsidRDefault="00385816" w:rsidP="00385816">
      <w:pPr>
        <w:ind w:left="-1440" w:right="1440"/>
        <w:rPr>
          <w:rFonts w:ascii="Segoe UI" w:hAnsi="Segoe UI" w:cs="Segoe UI"/>
          <w:sz w:val="16"/>
          <w:szCs w:val="16"/>
        </w:rPr>
      </w:pPr>
    </w:p>
    <w:tbl>
      <w:tblPr>
        <w:tblW w:w="121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95"/>
        <w:gridCol w:w="6095"/>
      </w:tblGrid>
      <w:tr w:rsidR="00BE5834" w:rsidRPr="0016102C" w:rsidTr="002679D4">
        <w:trPr>
          <w:trHeight w:val="348"/>
          <w:jc w:val="center"/>
        </w:trPr>
        <w:tc>
          <w:tcPr>
            <w:tcW w:w="12190" w:type="dxa"/>
            <w:gridSpan w:val="2"/>
            <w:shd w:val="clear" w:color="auto" w:fill="auto"/>
            <w:vAlign w:val="center"/>
          </w:tcPr>
          <w:bookmarkStart w:id="0" w:name="_Toc378949499"/>
          <w:bookmarkStart w:id="1" w:name="_Toc378949803"/>
          <w:bookmarkStart w:id="2" w:name="_Toc378950176"/>
          <w:bookmarkStart w:id="3" w:name="_Toc378950427"/>
          <w:bookmarkStart w:id="4" w:name="_Toc403810961"/>
          <w:p w:rsidR="00BE5834" w:rsidRPr="0016102C" w:rsidRDefault="00BE5834" w:rsidP="002679D4">
            <w:pPr>
              <w:pStyle w:val="Heading3"/>
              <w:spacing w:after="60" w:line="240" w:lineRule="auto"/>
              <w:jc w:val="center"/>
              <w:rPr>
                <w:rFonts w:cs="Segoe UI"/>
                <w:b w:val="0"/>
                <w:color w:val="4B82AD"/>
                <w:szCs w:val="21"/>
              </w:rPr>
            </w:pPr>
            <w:r w:rsidRPr="0016102C">
              <w:rPr>
                <w:rFonts w:cs="Segoe UI"/>
                <w:b w:val="0"/>
                <w:color w:val="4F81BD"/>
                <w:sz w:val="21"/>
                <w:szCs w:val="21"/>
              </w:rPr>
              <w:fldChar w:fldCharType="begin"/>
            </w:r>
            <w:r w:rsidRPr="0016102C">
              <w:rPr>
                <w:rFonts w:cs="Segoe UI"/>
                <w:b w:val="0"/>
                <w:color w:val="4F81BD"/>
                <w:sz w:val="21"/>
                <w:szCs w:val="21"/>
              </w:rPr>
              <w:instrText xml:space="preserve"> TC "</w:instrText>
            </w:r>
            <w:bookmarkStart w:id="5" w:name="_Toc405450113"/>
            <w:bookmarkStart w:id="6" w:name="_Toc409002244"/>
            <w:r w:rsidRPr="0016102C">
              <w:rPr>
                <w:rFonts w:cs="Segoe UI"/>
                <w:b w:val="0"/>
                <w:color w:val="4F81BD"/>
                <w:sz w:val="21"/>
                <w:szCs w:val="21"/>
              </w:rPr>
              <w:instrText>2b.</w:instrText>
            </w:r>
            <w:r>
              <w:rPr>
                <w:rFonts w:cs="Segoe UI"/>
                <w:b w:val="0"/>
                <w:color w:val="4F81BD"/>
                <w:sz w:val="21"/>
                <w:szCs w:val="21"/>
              </w:rPr>
              <w:instrText xml:space="preserve">   </w:instrText>
            </w:r>
            <w:r w:rsidRPr="0016102C">
              <w:rPr>
                <w:rFonts w:cs="Segoe UI"/>
                <w:b w:val="0"/>
                <w:color w:val="4F81BD"/>
                <w:sz w:val="21"/>
                <w:szCs w:val="21"/>
              </w:rPr>
              <w:instrText xml:space="preserve"> Assessment of Data Quality—Dimensions 0 and 1—Ministry of Finance</w:instrText>
            </w:r>
            <w:bookmarkEnd w:id="5"/>
            <w:bookmarkEnd w:id="6"/>
            <w:r w:rsidRPr="0016102C">
              <w:rPr>
                <w:rFonts w:cs="Segoe UI"/>
                <w:b w:val="0"/>
                <w:color w:val="4F81BD"/>
                <w:sz w:val="21"/>
                <w:szCs w:val="21"/>
              </w:rPr>
              <w:cr/>
              <w:instrText xml:space="preserve">"\f B </w:instrText>
            </w:r>
            <w:r w:rsidRPr="0016102C">
              <w:rPr>
                <w:rFonts w:cs="Segoe UI"/>
                <w:b w:val="0"/>
                <w:color w:val="4F81BD"/>
                <w:sz w:val="21"/>
                <w:szCs w:val="21"/>
              </w:rPr>
              <w:fldChar w:fldCharType="end"/>
            </w:r>
            <w:r w:rsidRPr="0016102C">
              <w:rPr>
                <w:rFonts w:cs="Segoe UI"/>
                <w:color w:val="4F81BD"/>
                <w:sz w:val="21"/>
                <w:szCs w:val="21"/>
              </w:rPr>
              <w:t>Table 2b. Assessment of Data Quality—Dimensions 0 and 1—</w:t>
            </w:r>
            <w:bookmarkStart w:id="7" w:name="bktable2bAgency"/>
            <w:bookmarkEnd w:id="7"/>
            <w:r w:rsidRPr="0016102C">
              <w:rPr>
                <w:rFonts w:cs="Segoe UI"/>
                <w:color w:val="4F81BD"/>
                <w:sz w:val="21"/>
                <w:szCs w:val="21"/>
              </w:rPr>
              <w:t>Ministry of Finance</w:t>
            </w:r>
            <w:bookmarkEnd w:id="0"/>
            <w:bookmarkEnd w:id="1"/>
            <w:bookmarkEnd w:id="2"/>
            <w:bookmarkEnd w:id="3"/>
            <w:bookmarkEnd w:id="4"/>
          </w:p>
        </w:tc>
      </w:tr>
      <w:tr w:rsidR="00BE5834" w:rsidRPr="0016102C" w:rsidTr="002679D4">
        <w:trPr>
          <w:trHeight w:val="278"/>
          <w:jc w:val="center"/>
        </w:trPr>
        <w:tc>
          <w:tcPr>
            <w:tcW w:w="6095" w:type="dxa"/>
            <w:shd w:val="clear" w:color="auto" w:fill="auto"/>
            <w:vAlign w:val="center"/>
          </w:tcPr>
          <w:p w:rsidR="00BE5834" w:rsidRPr="0016102C" w:rsidRDefault="00BE5834" w:rsidP="002679D4">
            <w:pPr>
              <w:spacing w:line="240" w:lineRule="auto"/>
              <w:rPr>
                <w:rFonts w:cs="Segoe UI"/>
                <w:b/>
                <w:color w:val="000000"/>
                <w:sz w:val="18"/>
                <w:szCs w:val="18"/>
              </w:rPr>
            </w:pPr>
            <w:r w:rsidRPr="0016102C">
              <w:rPr>
                <w:rFonts w:cs="Segoe UI"/>
                <w:b/>
                <w:color w:val="000000"/>
                <w:sz w:val="18"/>
                <w:szCs w:val="18"/>
              </w:rPr>
              <w:t>0. Prerequisites of quality</w:t>
            </w:r>
          </w:p>
        </w:tc>
        <w:tc>
          <w:tcPr>
            <w:tcW w:w="6095" w:type="dxa"/>
            <w:shd w:val="clear" w:color="auto" w:fill="auto"/>
            <w:vAlign w:val="center"/>
          </w:tcPr>
          <w:p w:rsidR="00BE5834" w:rsidRPr="0016102C" w:rsidRDefault="00BE5834" w:rsidP="002679D4">
            <w:pPr>
              <w:spacing w:line="240" w:lineRule="auto"/>
              <w:rPr>
                <w:rFonts w:cs="Segoe UI"/>
                <w:b/>
                <w:color w:val="000000"/>
                <w:sz w:val="18"/>
                <w:szCs w:val="18"/>
              </w:rPr>
            </w:pPr>
            <w:r w:rsidRPr="0016102C">
              <w:rPr>
                <w:rFonts w:cs="Segoe UI"/>
                <w:b/>
                <w:color w:val="000000"/>
                <w:sz w:val="18"/>
                <w:szCs w:val="18"/>
              </w:rPr>
              <w:t>1. Assurances of integrity</w:t>
            </w:r>
          </w:p>
        </w:tc>
      </w:tr>
      <w:tr w:rsidR="00BE5834" w:rsidRPr="0016102C" w:rsidTr="002679D4">
        <w:trPr>
          <w:trHeight w:val="1932"/>
          <w:jc w:val="center"/>
        </w:trPr>
        <w:tc>
          <w:tcPr>
            <w:tcW w:w="6095" w:type="dxa"/>
            <w:shd w:val="clear" w:color="auto" w:fill="auto"/>
          </w:tcPr>
          <w:p w:rsidR="00BE5834" w:rsidRPr="0016102C" w:rsidRDefault="00BE5834" w:rsidP="002679D4">
            <w:pPr>
              <w:spacing w:line="240" w:lineRule="auto"/>
              <w:rPr>
                <w:rFonts w:cs="Segoe UI"/>
                <w:b/>
                <w:bCs/>
                <w:color w:val="000000"/>
                <w:sz w:val="18"/>
                <w:szCs w:val="18"/>
              </w:rPr>
            </w:pPr>
            <w:r w:rsidRPr="0016102C">
              <w:rPr>
                <w:rFonts w:cs="Segoe UI"/>
                <w:b/>
                <w:bCs/>
                <w:color w:val="000000"/>
                <w:sz w:val="18"/>
                <w:szCs w:val="18"/>
              </w:rPr>
              <w:t>Legal and institutional environment</w:t>
            </w:r>
          </w:p>
          <w:p w:rsidR="00BE5834" w:rsidRPr="0016102C" w:rsidRDefault="00BE5834" w:rsidP="002679D4">
            <w:pPr>
              <w:spacing w:line="240" w:lineRule="auto"/>
              <w:rPr>
                <w:rFonts w:cs="Segoe UI"/>
                <w:color w:val="000000"/>
                <w:sz w:val="18"/>
                <w:szCs w:val="18"/>
              </w:rPr>
            </w:pPr>
            <w:r w:rsidRPr="0016102C">
              <w:rPr>
                <w:rFonts w:cs="Segoe UI"/>
                <w:color w:val="000000"/>
                <w:sz w:val="18"/>
                <w:szCs w:val="18"/>
              </w:rPr>
              <w:t xml:space="preserve">The responsibility to collect, process, and disseminate fiscal data of </w:t>
            </w:r>
            <w:r w:rsidRPr="009803E0">
              <w:rPr>
                <w:rFonts w:cs="Segoe UI"/>
                <w:color w:val="000000"/>
                <w:sz w:val="18"/>
                <w:szCs w:val="18"/>
              </w:rPr>
              <w:t xml:space="preserve">government </w:t>
            </w:r>
            <w:r w:rsidRPr="0016102C">
              <w:rPr>
                <w:rFonts w:cs="Segoe UI"/>
                <w:color w:val="000000"/>
                <w:sz w:val="18"/>
                <w:szCs w:val="18"/>
              </w:rPr>
              <w:t xml:space="preserve">is clearly assigned in the </w:t>
            </w:r>
            <w:r w:rsidRPr="0016102C">
              <w:rPr>
                <w:rFonts w:cs="Segoe UI"/>
                <w:i/>
                <w:color w:val="000000"/>
                <w:sz w:val="18"/>
                <w:szCs w:val="18"/>
              </w:rPr>
              <w:t>Financial Law</w:t>
            </w:r>
            <w:r w:rsidRPr="0016102C">
              <w:rPr>
                <w:rFonts w:cs="Segoe UI"/>
                <w:color w:val="000000"/>
                <w:sz w:val="18"/>
                <w:szCs w:val="18"/>
              </w:rPr>
              <w:t xml:space="preserve">, Royal Decree No. 47/98. The </w:t>
            </w:r>
            <w:r w:rsidRPr="0016102C">
              <w:rPr>
                <w:rFonts w:cs="Segoe UI"/>
                <w:i/>
                <w:color w:val="000000"/>
                <w:sz w:val="18"/>
                <w:szCs w:val="18"/>
              </w:rPr>
              <w:t>Statistical Law</w:t>
            </w:r>
            <w:r w:rsidRPr="0016102C">
              <w:rPr>
                <w:rFonts w:cs="Segoe UI"/>
                <w:color w:val="000000"/>
                <w:sz w:val="18"/>
                <w:szCs w:val="18"/>
              </w:rPr>
              <w:t xml:space="preserve"> (Royal Decree No 29/2001,) does not support the MOF with the authority to collect data from government units.</w:t>
            </w:r>
          </w:p>
          <w:p w:rsidR="00BE5834" w:rsidRDefault="00BE5834" w:rsidP="002679D4">
            <w:pPr>
              <w:spacing w:line="240" w:lineRule="auto"/>
              <w:rPr>
                <w:rFonts w:cs="Segoe UI"/>
                <w:b/>
                <w:bCs/>
                <w:color w:val="000000"/>
                <w:sz w:val="18"/>
                <w:szCs w:val="18"/>
              </w:rPr>
            </w:pPr>
          </w:p>
          <w:p w:rsidR="00BE5834" w:rsidRPr="0016102C" w:rsidRDefault="00BE5834" w:rsidP="002679D4">
            <w:pPr>
              <w:spacing w:line="240" w:lineRule="auto"/>
              <w:rPr>
                <w:rFonts w:cs="Segoe UI"/>
                <w:b/>
                <w:bCs/>
                <w:color w:val="000000"/>
                <w:sz w:val="18"/>
                <w:szCs w:val="18"/>
              </w:rPr>
            </w:pPr>
            <w:r w:rsidRPr="0016102C">
              <w:rPr>
                <w:rFonts w:cs="Segoe UI"/>
                <w:b/>
                <w:bCs/>
                <w:color w:val="000000"/>
                <w:sz w:val="18"/>
                <w:szCs w:val="18"/>
              </w:rPr>
              <w:t>Resources</w:t>
            </w:r>
          </w:p>
          <w:p w:rsidR="00BE5834" w:rsidRPr="0016102C" w:rsidRDefault="00BE5834" w:rsidP="002679D4">
            <w:pPr>
              <w:spacing w:line="240" w:lineRule="auto"/>
              <w:rPr>
                <w:rFonts w:cs="Segoe UI"/>
                <w:color w:val="000000"/>
                <w:sz w:val="18"/>
                <w:szCs w:val="18"/>
              </w:rPr>
            </w:pPr>
            <w:r w:rsidRPr="0016102C">
              <w:rPr>
                <w:rFonts w:cs="Segoe UI"/>
                <w:color w:val="000000"/>
                <w:sz w:val="18"/>
                <w:szCs w:val="18"/>
              </w:rPr>
              <w:t xml:space="preserve">None of the current MOF officials have attended an IMF course based on Government Finance Statistics Manual 2001; </w:t>
            </w:r>
            <w:proofErr w:type="gramStart"/>
            <w:r w:rsidRPr="0016102C">
              <w:rPr>
                <w:rFonts w:cs="Segoe UI"/>
                <w:color w:val="000000"/>
                <w:sz w:val="18"/>
                <w:szCs w:val="18"/>
              </w:rPr>
              <w:t>however</w:t>
            </w:r>
            <w:proofErr w:type="gramEnd"/>
            <w:r w:rsidRPr="0016102C">
              <w:rPr>
                <w:rFonts w:cs="Segoe UI"/>
                <w:color w:val="000000"/>
                <w:sz w:val="18"/>
                <w:szCs w:val="18"/>
              </w:rPr>
              <w:t xml:space="preserve"> the staff is well trained for their current needs. The MOF has no dedicated statistical positions for the compilation of GFS. Recently the </w:t>
            </w:r>
            <w:r w:rsidRPr="00A41379">
              <w:rPr>
                <w:rFonts w:cs="Segoe UI"/>
                <w:i/>
                <w:color w:val="000000"/>
                <w:sz w:val="18"/>
                <w:szCs w:val="18"/>
              </w:rPr>
              <w:t>Civil Service Law</w:t>
            </w:r>
            <w:r w:rsidRPr="0016102C">
              <w:rPr>
                <w:rFonts w:cs="Segoe UI"/>
                <w:color w:val="000000"/>
                <w:sz w:val="18"/>
                <w:szCs w:val="18"/>
              </w:rPr>
              <w:t xml:space="preserve"> was revised, whereby conditions of employment are determined evenly across ministries and no longer at the discretion of ministries. This has increased the attractiveness of the MOF as employer and reduced staff turnover.</w:t>
            </w:r>
            <w:r>
              <w:rPr>
                <w:rFonts w:cs="Segoe UI"/>
                <w:color w:val="000000"/>
                <w:sz w:val="18"/>
                <w:szCs w:val="18"/>
              </w:rPr>
              <w:t xml:space="preserve"> Efficient use of resources is ensured through sound performance management, evaluations and training.</w:t>
            </w:r>
          </w:p>
          <w:p w:rsidR="00BE5834" w:rsidRDefault="00BE5834" w:rsidP="002679D4">
            <w:pPr>
              <w:spacing w:line="240" w:lineRule="auto"/>
              <w:rPr>
                <w:rFonts w:cs="Segoe UI"/>
                <w:b/>
                <w:bCs/>
                <w:color w:val="000000"/>
                <w:sz w:val="18"/>
                <w:szCs w:val="18"/>
              </w:rPr>
            </w:pPr>
          </w:p>
          <w:p w:rsidR="00BE5834" w:rsidRPr="0016102C" w:rsidRDefault="00BE5834" w:rsidP="002679D4">
            <w:pPr>
              <w:spacing w:line="240" w:lineRule="auto"/>
              <w:rPr>
                <w:rFonts w:cs="Segoe UI"/>
                <w:b/>
                <w:bCs/>
                <w:color w:val="000000"/>
                <w:sz w:val="18"/>
                <w:szCs w:val="18"/>
              </w:rPr>
            </w:pPr>
            <w:r w:rsidRPr="0016102C">
              <w:rPr>
                <w:rFonts w:cs="Segoe UI"/>
                <w:b/>
                <w:bCs/>
                <w:color w:val="000000"/>
                <w:sz w:val="18"/>
                <w:szCs w:val="18"/>
              </w:rPr>
              <w:t>Relevance</w:t>
            </w:r>
          </w:p>
          <w:p w:rsidR="00BE5834" w:rsidRPr="0016102C" w:rsidRDefault="00BE5834" w:rsidP="002679D4">
            <w:pPr>
              <w:spacing w:line="240" w:lineRule="auto"/>
              <w:rPr>
                <w:rFonts w:cs="Segoe UI"/>
                <w:color w:val="000000"/>
                <w:sz w:val="18"/>
                <w:szCs w:val="18"/>
              </w:rPr>
            </w:pPr>
            <w:r w:rsidRPr="0016102C">
              <w:rPr>
                <w:rFonts w:cs="Segoe UI"/>
                <w:color w:val="000000"/>
                <w:sz w:val="18"/>
                <w:szCs w:val="18"/>
              </w:rPr>
              <w:t xml:space="preserve">The relevance of fiscal data is illustrated by the MOF, Ministry of Planning, line ministries, and other policymakers (including the </w:t>
            </w:r>
            <w:r>
              <w:rPr>
                <w:rFonts w:cs="Segoe UI"/>
                <w:color w:val="000000"/>
                <w:sz w:val="18"/>
                <w:szCs w:val="18"/>
              </w:rPr>
              <w:t>CB</w:t>
            </w:r>
            <w:bookmarkStart w:id="8" w:name="_GoBack"/>
            <w:bookmarkEnd w:id="8"/>
            <w:r>
              <w:rPr>
                <w:rFonts w:cs="Segoe UI"/>
                <w:color w:val="000000"/>
                <w:sz w:val="18"/>
                <w:szCs w:val="18"/>
              </w:rPr>
              <w:t>E</w:t>
            </w:r>
            <w:r w:rsidRPr="0016102C">
              <w:rPr>
                <w:rFonts w:cs="Segoe UI"/>
                <w:color w:val="000000"/>
                <w:sz w:val="18"/>
                <w:szCs w:val="18"/>
              </w:rPr>
              <w:t>) who use these data while determining, monitoring, and evaluating fiscal policy. Fiscal data produced by the MOF are</w:t>
            </w:r>
            <w:r>
              <w:rPr>
                <w:rFonts w:cs="Segoe UI"/>
                <w:color w:val="000000"/>
                <w:sz w:val="18"/>
                <w:szCs w:val="18"/>
              </w:rPr>
              <w:t xml:space="preserve"> also</w:t>
            </w:r>
            <w:r w:rsidRPr="0016102C">
              <w:rPr>
                <w:rFonts w:cs="Segoe UI"/>
                <w:color w:val="000000"/>
                <w:sz w:val="18"/>
                <w:szCs w:val="18"/>
              </w:rPr>
              <w:t xml:space="preserve"> used by the Fund for surveillance purposes.</w:t>
            </w:r>
            <w:r>
              <w:rPr>
                <w:rFonts w:cs="Segoe UI"/>
                <w:color w:val="000000"/>
                <w:sz w:val="18"/>
                <w:szCs w:val="18"/>
              </w:rPr>
              <w:t xml:space="preserve"> </w:t>
            </w:r>
            <w:r w:rsidRPr="00003E85">
              <w:rPr>
                <w:sz w:val="18"/>
                <w:szCs w:val="18"/>
              </w:rPr>
              <w:t>User needs other than that of government are not actively sought.</w:t>
            </w:r>
          </w:p>
          <w:p w:rsidR="00BE5834" w:rsidRDefault="00BE5834" w:rsidP="002679D4">
            <w:pPr>
              <w:spacing w:line="240" w:lineRule="auto"/>
              <w:rPr>
                <w:rFonts w:cs="Segoe UI"/>
                <w:b/>
                <w:bCs/>
                <w:color w:val="000000"/>
                <w:sz w:val="18"/>
                <w:szCs w:val="18"/>
              </w:rPr>
            </w:pPr>
          </w:p>
          <w:p w:rsidR="00BE5834" w:rsidRPr="0016102C" w:rsidRDefault="00BE5834" w:rsidP="002679D4">
            <w:pPr>
              <w:spacing w:line="240" w:lineRule="auto"/>
              <w:rPr>
                <w:rFonts w:cs="Segoe UI"/>
                <w:b/>
                <w:bCs/>
                <w:color w:val="000000"/>
                <w:sz w:val="18"/>
                <w:szCs w:val="18"/>
              </w:rPr>
            </w:pPr>
            <w:r w:rsidRPr="0016102C">
              <w:rPr>
                <w:rFonts w:cs="Segoe UI"/>
                <w:b/>
                <w:bCs/>
                <w:color w:val="000000"/>
                <w:sz w:val="18"/>
                <w:szCs w:val="18"/>
              </w:rPr>
              <w:t>Other quality management</w:t>
            </w:r>
          </w:p>
          <w:p w:rsidR="00BE5834" w:rsidRPr="0016102C" w:rsidRDefault="00BE5834" w:rsidP="002679D4">
            <w:pPr>
              <w:spacing w:line="240" w:lineRule="auto"/>
              <w:rPr>
                <w:rFonts w:cs="Segoe UI"/>
                <w:color w:val="000000"/>
                <w:sz w:val="18"/>
                <w:szCs w:val="18"/>
              </w:rPr>
            </w:pPr>
            <w:r w:rsidRPr="0016102C">
              <w:rPr>
                <w:rFonts w:cs="Segoe UI"/>
                <w:color w:val="000000"/>
                <w:sz w:val="18"/>
                <w:szCs w:val="18"/>
              </w:rPr>
              <w:t>Quality management is well exercised by the MOF, including measures to control and audit all relevant processes.</w:t>
            </w:r>
          </w:p>
        </w:tc>
        <w:tc>
          <w:tcPr>
            <w:tcW w:w="6095" w:type="dxa"/>
            <w:shd w:val="clear" w:color="auto" w:fill="auto"/>
          </w:tcPr>
          <w:p w:rsidR="00BE5834" w:rsidRPr="0016102C" w:rsidRDefault="00BE5834" w:rsidP="002679D4">
            <w:pPr>
              <w:spacing w:line="240" w:lineRule="auto"/>
              <w:rPr>
                <w:rFonts w:cs="Segoe UI"/>
                <w:b/>
                <w:bCs/>
                <w:color w:val="000000"/>
                <w:sz w:val="18"/>
                <w:szCs w:val="18"/>
              </w:rPr>
            </w:pPr>
            <w:r w:rsidRPr="0016102C">
              <w:rPr>
                <w:rFonts w:cs="Segoe UI"/>
                <w:b/>
                <w:bCs/>
                <w:color w:val="000000"/>
                <w:sz w:val="18"/>
                <w:szCs w:val="18"/>
              </w:rPr>
              <w:t xml:space="preserve">Institutional integrity </w:t>
            </w:r>
          </w:p>
          <w:p w:rsidR="00BE5834" w:rsidRPr="0016102C" w:rsidRDefault="00BE5834" w:rsidP="002679D4">
            <w:pPr>
              <w:spacing w:line="240" w:lineRule="auto"/>
              <w:rPr>
                <w:rFonts w:cs="Segoe UI"/>
                <w:color w:val="000000"/>
                <w:sz w:val="18"/>
                <w:szCs w:val="18"/>
              </w:rPr>
            </w:pPr>
            <w:r w:rsidRPr="0016102C">
              <w:rPr>
                <w:rFonts w:cs="Segoe UI"/>
                <w:color w:val="000000"/>
                <w:sz w:val="18"/>
                <w:szCs w:val="18"/>
              </w:rPr>
              <w:t xml:space="preserve">The </w:t>
            </w:r>
            <w:r w:rsidRPr="0016102C">
              <w:rPr>
                <w:rFonts w:cs="Segoe UI"/>
                <w:i/>
                <w:color w:val="000000"/>
                <w:sz w:val="18"/>
                <w:szCs w:val="18"/>
              </w:rPr>
              <w:t>Financial Law</w:t>
            </w:r>
            <w:r w:rsidRPr="0016102C">
              <w:rPr>
                <w:rFonts w:cs="Segoe UI"/>
                <w:color w:val="000000"/>
                <w:sz w:val="18"/>
                <w:szCs w:val="18"/>
              </w:rPr>
              <w:t xml:space="preserve"> (Royal Decree No. 47/98) assigns the responsibility for compiling government accounts. The </w:t>
            </w:r>
            <w:r w:rsidRPr="0016102C">
              <w:rPr>
                <w:rFonts w:cs="Segoe UI"/>
                <w:i/>
                <w:color w:val="000000"/>
                <w:sz w:val="18"/>
                <w:szCs w:val="18"/>
              </w:rPr>
              <w:t>State Audit Law</w:t>
            </w:r>
            <w:r w:rsidRPr="0016102C">
              <w:rPr>
                <w:rFonts w:cs="Segoe UI"/>
                <w:color w:val="000000"/>
                <w:sz w:val="18"/>
                <w:szCs w:val="18"/>
              </w:rPr>
              <w:t xml:space="preserve"> (Royal Decree No. 112/2011) and the </w:t>
            </w:r>
            <w:r w:rsidRPr="006C6757">
              <w:rPr>
                <w:rFonts w:cs="Segoe UI"/>
                <w:i/>
                <w:color w:val="000000"/>
                <w:sz w:val="18"/>
                <w:szCs w:val="18"/>
              </w:rPr>
              <w:t xml:space="preserve">Protection </w:t>
            </w:r>
            <w:r w:rsidRPr="0016102C">
              <w:rPr>
                <w:rFonts w:cs="Segoe UI"/>
                <w:i/>
                <w:color w:val="000000"/>
                <w:sz w:val="18"/>
                <w:szCs w:val="18"/>
              </w:rPr>
              <w:t>of Public Property and Preventing of Conflict of Interest Law</w:t>
            </w:r>
            <w:r w:rsidRPr="0016102C">
              <w:rPr>
                <w:rFonts w:cs="Segoe UI"/>
                <w:color w:val="000000"/>
                <w:sz w:val="18"/>
                <w:szCs w:val="18"/>
              </w:rPr>
              <w:t xml:space="preserve"> (Royal Decree No. 112/2011) strengthen the controls on the compilation of data and the required integrity of staff. The Ministry of Civil Services appoints staff through an open public enrollment process that includes a targeted skills assessment. Professionalism is actively promoted and supported through formal and on-the</w:t>
            </w:r>
            <w:r>
              <w:rPr>
                <w:rFonts w:cs="Segoe UI"/>
                <w:color w:val="000000"/>
                <w:sz w:val="18"/>
                <w:szCs w:val="18"/>
              </w:rPr>
              <w:t>-</w:t>
            </w:r>
            <w:r w:rsidRPr="0016102C">
              <w:rPr>
                <w:rFonts w:cs="Segoe UI"/>
                <w:color w:val="000000"/>
                <w:sz w:val="18"/>
                <w:szCs w:val="18"/>
              </w:rPr>
              <w:t xml:space="preserve">job training of staff and continued participation in seminars, courses, and workshops arranged by regional and international organizations. </w:t>
            </w:r>
          </w:p>
          <w:p w:rsidR="00BE5834" w:rsidRDefault="00BE5834" w:rsidP="002679D4">
            <w:pPr>
              <w:spacing w:line="240" w:lineRule="auto"/>
              <w:rPr>
                <w:rFonts w:cs="Segoe UI"/>
                <w:b/>
                <w:bCs/>
                <w:color w:val="000000"/>
                <w:sz w:val="18"/>
                <w:szCs w:val="18"/>
              </w:rPr>
            </w:pPr>
          </w:p>
          <w:p w:rsidR="00BE5834" w:rsidRPr="0016102C" w:rsidRDefault="00BE5834" w:rsidP="002679D4">
            <w:pPr>
              <w:spacing w:line="240" w:lineRule="auto"/>
              <w:rPr>
                <w:rFonts w:cs="Segoe UI"/>
                <w:b/>
                <w:bCs/>
                <w:color w:val="000000"/>
                <w:sz w:val="18"/>
                <w:szCs w:val="18"/>
              </w:rPr>
            </w:pPr>
            <w:r w:rsidRPr="0016102C">
              <w:rPr>
                <w:rFonts w:cs="Segoe UI"/>
                <w:b/>
                <w:bCs/>
                <w:color w:val="000000"/>
                <w:sz w:val="18"/>
                <w:szCs w:val="18"/>
              </w:rPr>
              <w:t>Transparency</w:t>
            </w:r>
          </w:p>
          <w:p w:rsidR="00BE5834" w:rsidRPr="0016102C" w:rsidRDefault="00BE5834" w:rsidP="002679D4">
            <w:pPr>
              <w:spacing w:line="240" w:lineRule="auto"/>
              <w:rPr>
                <w:rFonts w:cs="Segoe UI"/>
                <w:color w:val="000000"/>
                <w:sz w:val="18"/>
                <w:szCs w:val="18"/>
              </w:rPr>
            </w:pPr>
            <w:r w:rsidRPr="0016102C">
              <w:rPr>
                <w:rFonts w:cs="Segoe UI"/>
                <w:color w:val="000000"/>
                <w:sz w:val="18"/>
                <w:szCs w:val="18"/>
              </w:rPr>
              <w:t xml:space="preserve">The </w:t>
            </w:r>
            <w:r>
              <w:rPr>
                <w:rFonts w:cs="Segoe UI"/>
                <w:color w:val="000000"/>
                <w:sz w:val="18"/>
                <w:szCs w:val="18"/>
              </w:rPr>
              <w:t xml:space="preserve">methodology according to which </w:t>
            </w:r>
            <w:r w:rsidRPr="009803E0">
              <w:rPr>
                <w:rFonts w:cs="Segoe UI"/>
                <w:color w:val="000000"/>
                <w:sz w:val="18"/>
                <w:szCs w:val="18"/>
              </w:rPr>
              <w:t xml:space="preserve">fiscal statistics </w:t>
            </w:r>
            <w:r>
              <w:rPr>
                <w:rFonts w:cs="Segoe UI"/>
                <w:color w:val="000000"/>
                <w:sz w:val="18"/>
                <w:szCs w:val="18"/>
              </w:rPr>
              <w:t xml:space="preserve">are compiled </w:t>
            </w:r>
            <w:r w:rsidRPr="0016102C">
              <w:rPr>
                <w:rFonts w:cs="Segoe UI"/>
                <w:color w:val="000000"/>
                <w:sz w:val="18"/>
                <w:szCs w:val="18"/>
              </w:rPr>
              <w:t xml:space="preserve">is promoted by wide availability of the </w:t>
            </w:r>
            <w:r w:rsidRPr="0016102C">
              <w:rPr>
                <w:rFonts w:cs="Segoe UI"/>
                <w:i/>
                <w:color w:val="000000"/>
                <w:sz w:val="18"/>
                <w:szCs w:val="18"/>
              </w:rPr>
              <w:t xml:space="preserve">Financial Law </w:t>
            </w:r>
            <w:r w:rsidRPr="0016102C">
              <w:rPr>
                <w:rFonts w:cs="Segoe UI"/>
                <w:color w:val="000000"/>
                <w:sz w:val="18"/>
                <w:szCs w:val="18"/>
              </w:rPr>
              <w:t xml:space="preserve">and regulations related to the budgeting and planning process. The MOF issues financial circulars every year to spell out budgeting processes and the terms and conditions for compiling government accounts. </w:t>
            </w:r>
            <w:r>
              <w:rPr>
                <w:rFonts w:cs="Segoe UI"/>
                <w:color w:val="000000"/>
                <w:sz w:val="18"/>
                <w:szCs w:val="18"/>
              </w:rPr>
              <w:t>Fiscal data are well identified as being compiled by the MOF.</w:t>
            </w:r>
            <w:r w:rsidRPr="0016102C">
              <w:rPr>
                <w:rFonts w:cs="Segoe UI"/>
                <w:color w:val="000000"/>
                <w:sz w:val="18"/>
                <w:szCs w:val="18"/>
              </w:rPr>
              <w:t xml:space="preserve"> However, the extent of internal government access to statistics prior to their release to the public is not publicly identified and no advance notice is given of methodological changes.  </w:t>
            </w:r>
          </w:p>
          <w:p w:rsidR="00BE5834" w:rsidRDefault="00BE5834" w:rsidP="002679D4">
            <w:pPr>
              <w:spacing w:line="240" w:lineRule="auto"/>
              <w:rPr>
                <w:rFonts w:cs="Segoe UI"/>
                <w:b/>
                <w:bCs/>
                <w:color w:val="000000"/>
                <w:sz w:val="18"/>
                <w:szCs w:val="18"/>
              </w:rPr>
            </w:pPr>
          </w:p>
          <w:p w:rsidR="00BE5834" w:rsidRPr="0016102C" w:rsidRDefault="00BE5834" w:rsidP="002679D4">
            <w:pPr>
              <w:spacing w:line="240" w:lineRule="auto"/>
              <w:rPr>
                <w:rFonts w:cs="Segoe UI"/>
                <w:b/>
                <w:bCs/>
                <w:color w:val="000000"/>
                <w:sz w:val="18"/>
                <w:szCs w:val="18"/>
              </w:rPr>
            </w:pPr>
            <w:r w:rsidRPr="0016102C">
              <w:rPr>
                <w:rFonts w:cs="Segoe UI"/>
                <w:b/>
                <w:bCs/>
                <w:color w:val="000000"/>
                <w:sz w:val="18"/>
                <w:szCs w:val="18"/>
              </w:rPr>
              <w:t>Ethical standards</w:t>
            </w:r>
          </w:p>
          <w:p w:rsidR="00BE5834" w:rsidRPr="0016102C" w:rsidRDefault="00BE5834" w:rsidP="002679D4">
            <w:pPr>
              <w:spacing w:line="240" w:lineRule="auto"/>
              <w:rPr>
                <w:rFonts w:cs="Segoe UI"/>
                <w:color w:val="000000"/>
                <w:sz w:val="18"/>
                <w:szCs w:val="18"/>
              </w:rPr>
            </w:pPr>
            <w:r w:rsidRPr="0016102C">
              <w:rPr>
                <w:rFonts w:cs="Segoe UI"/>
                <w:color w:val="000000"/>
                <w:sz w:val="18"/>
                <w:szCs w:val="18"/>
              </w:rPr>
              <w:t>Ethical standards are supported through the legal framework applicable to all government employees. Government employees are subject to a code of conduct. Sound management and cultural practices, as well as mentoring</w:t>
            </w:r>
            <w:r>
              <w:rPr>
                <w:rFonts w:cs="Segoe UI"/>
                <w:color w:val="000000"/>
                <w:sz w:val="18"/>
                <w:szCs w:val="18"/>
              </w:rPr>
              <w:t xml:space="preserve"> and peer review</w:t>
            </w:r>
            <w:r w:rsidRPr="0016102C">
              <w:rPr>
                <w:rFonts w:cs="Segoe UI"/>
                <w:color w:val="000000"/>
                <w:sz w:val="18"/>
                <w:szCs w:val="18"/>
              </w:rPr>
              <w:t>, ensure that staff are regularly reminded of the behavior expected of them.</w:t>
            </w:r>
          </w:p>
        </w:tc>
      </w:tr>
    </w:tbl>
    <w:p w:rsidR="00BE5834" w:rsidRDefault="00BE5834" w:rsidP="00385816">
      <w:pPr>
        <w:ind w:left="-1440" w:right="1440"/>
        <w:rPr>
          <w:rFonts w:ascii="Segoe UI" w:hAnsi="Segoe UI" w:cs="Segoe UI"/>
          <w:sz w:val="16"/>
          <w:szCs w:val="16"/>
        </w:rPr>
      </w:pPr>
    </w:p>
    <w:p w:rsidR="00BE5834" w:rsidRDefault="00BE5834" w:rsidP="00385816">
      <w:pPr>
        <w:ind w:left="-1440" w:right="1440"/>
        <w:rPr>
          <w:rFonts w:ascii="Segoe UI" w:hAnsi="Segoe UI" w:cs="Segoe UI"/>
          <w:sz w:val="16"/>
          <w:szCs w:val="16"/>
        </w:rPr>
      </w:pPr>
    </w:p>
    <w:p w:rsidR="00BE5834" w:rsidRDefault="00BE5834" w:rsidP="00385816">
      <w:pPr>
        <w:ind w:left="-1440" w:right="1440"/>
        <w:rPr>
          <w:rFonts w:ascii="Segoe UI" w:hAnsi="Segoe UI" w:cs="Segoe UI"/>
          <w:sz w:val="16"/>
          <w:szCs w:val="16"/>
        </w:rPr>
      </w:pPr>
    </w:p>
    <w:p w:rsidR="00BE5834" w:rsidRDefault="00BE5834" w:rsidP="00385816">
      <w:pPr>
        <w:ind w:left="-1440" w:right="1440"/>
        <w:rPr>
          <w:rFonts w:ascii="Segoe UI" w:hAnsi="Segoe UI" w:cs="Segoe UI"/>
          <w:sz w:val="16"/>
          <w:szCs w:val="16"/>
        </w:rPr>
      </w:pPr>
    </w:p>
    <w:p w:rsidR="00BE5834" w:rsidRDefault="00BE5834" w:rsidP="00385816">
      <w:pPr>
        <w:ind w:left="-1440" w:right="1440"/>
        <w:rPr>
          <w:rFonts w:ascii="Segoe UI" w:hAnsi="Segoe UI" w:cs="Segoe UI"/>
          <w:sz w:val="16"/>
          <w:szCs w:val="16"/>
        </w:rPr>
      </w:pPr>
    </w:p>
    <w:p w:rsidR="00BE5834" w:rsidRDefault="00BE5834" w:rsidP="00385816">
      <w:pPr>
        <w:ind w:left="-1440" w:right="1440"/>
        <w:rPr>
          <w:rFonts w:ascii="Segoe UI" w:hAnsi="Segoe UI" w:cs="Segoe UI"/>
          <w:sz w:val="16"/>
          <w:szCs w:val="16"/>
        </w:rPr>
      </w:pPr>
    </w:p>
    <w:p w:rsidR="00BE5834" w:rsidRDefault="00BE5834" w:rsidP="00385816">
      <w:pPr>
        <w:ind w:left="-1440" w:right="1440"/>
        <w:rPr>
          <w:rFonts w:ascii="Segoe UI" w:hAnsi="Segoe UI" w:cs="Segoe UI"/>
          <w:sz w:val="16"/>
          <w:szCs w:val="16"/>
        </w:rPr>
      </w:pPr>
    </w:p>
    <w:p w:rsidR="00BE5834" w:rsidRDefault="00BE5834" w:rsidP="00385816">
      <w:pPr>
        <w:ind w:left="-1440" w:right="1440"/>
        <w:rPr>
          <w:rFonts w:ascii="Segoe UI" w:hAnsi="Segoe UI" w:cs="Segoe UI"/>
          <w:sz w:val="16"/>
          <w:szCs w:val="16"/>
        </w:rPr>
      </w:pPr>
    </w:p>
    <w:p w:rsidR="00BE5834" w:rsidRDefault="00BE5834" w:rsidP="00BE5834">
      <w:pPr>
        <w:ind w:right="1440"/>
        <w:rPr>
          <w:rFonts w:ascii="Segoe UI" w:hAnsi="Segoe UI" w:cs="Segoe UI"/>
          <w:sz w:val="16"/>
          <w:szCs w:val="16"/>
        </w:rPr>
      </w:pPr>
    </w:p>
    <w:p w:rsidR="00BE5834" w:rsidRDefault="00BE5834" w:rsidP="00385816">
      <w:pPr>
        <w:ind w:left="-1440" w:right="1440"/>
        <w:rPr>
          <w:rFonts w:ascii="Segoe UI" w:hAnsi="Segoe UI" w:cs="Segoe UI"/>
          <w:sz w:val="16"/>
          <w:szCs w:val="16"/>
        </w:rPr>
      </w:pPr>
    </w:p>
    <w:p w:rsidR="00BE5834" w:rsidRDefault="00BE5834" w:rsidP="00385816">
      <w:pPr>
        <w:ind w:left="-1440" w:right="1440"/>
        <w:rPr>
          <w:rFonts w:ascii="Segoe UI" w:hAnsi="Segoe UI" w:cs="Segoe UI"/>
          <w:sz w:val="16"/>
          <w:szCs w:val="16"/>
        </w:rPr>
      </w:pPr>
    </w:p>
    <w:tbl>
      <w:tblPr>
        <w:tblW w:w="121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47"/>
        <w:gridCol w:w="3048"/>
        <w:gridCol w:w="3047"/>
        <w:gridCol w:w="3048"/>
      </w:tblGrid>
      <w:tr w:rsidR="00BE5834" w:rsidRPr="0016102C" w:rsidTr="002679D4">
        <w:trPr>
          <w:trHeight w:val="348"/>
          <w:jc w:val="center"/>
        </w:trPr>
        <w:tc>
          <w:tcPr>
            <w:tcW w:w="12190" w:type="dxa"/>
            <w:gridSpan w:val="4"/>
            <w:shd w:val="clear" w:color="auto" w:fill="auto"/>
            <w:vAlign w:val="center"/>
          </w:tcPr>
          <w:bookmarkStart w:id="9" w:name="_Toc378949504"/>
          <w:bookmarkStart w:id="10" w:name="_Toc378949808"/>
          <w:bookmarkStart w:id="11" w:name="_Toc378950181"/>
          <w:bookmarkStart w:id="12" w:name="_Toc378950432"/>
          <w:bookmarkStart w:id="13" w:name="_Toc403810966"/>
          <w:p w:rsidR="00BE5834" w:rsidRPr="0016102C" w:rsidRDefault="00BE5834" w:rsidP="002679D4">
            <w:pPr>
              <w:pStyle w:val="Heading3"/>
              <w:spacing w:after="60" w:line="240" w:lineRule="auto"/>
              <w:jc w:val="center"/>
              <w:rPr>
                <w:rFonts w:cs="Segoe UI"/>
                <w:color w:val="4F81BD"/>
                <w:sz w:val="21"/>
                <w:szCs w:val="21"/>
              </w:rPr>
            </w:pPr>
            <w:r w:rsidRPr="0016102C">
              <w:rPr>
                <w:rFonts w:cs="Segoe UI"/>
                <w:b w:val="0"/>
                <w:color w:val="4F81BD"/>
                <w:sz w:val="21"/>
                <w:szCs w:val="21"/>
              </w:rPr>
              <w:fldChar w:fldCharType="begin"/>
            </w:r>
            <w:r w:rsidRPr="0016102C">
              <w:rPr>
                <w:rFonts w:cs="Segoe UI"/>
                <w:b w:val="0"/>
                <w:color w:val="4F81BD"/>
                <w:sz w:val="21"/>
                <w:szCs w:val="21"/>
              </w:rPr>
              <w:instrText xml:space="preserve"> TC "</w:instrText>
            </w:r>
            <w:bookmarkStart w:id="14" w:name="_Toc405450118"/>
            <w:bookmarkStart w:id="15" w:name="_Toc409002249"/>
            <w:r w:rsidRPr="0016102C">
              <w:rPr>
                <w:rFonts w:cs="Segoe UI"/>
                <w:b w:val="0"/>
                <w:color w:val="4F81BD"/>
                <w:sz w:val="21"/>
                <w:szCs w:val="21"/>
              </w:rPr>
              <w:instrText xml:space="preserve">3d. </w:instrText>
            </w:r>
            <w:r>
              <w:rPr>
                <w:rFonts w:cs="Segoe UI"/>
                <w:b w:val="0"/>
                <w:color w:val="4F81BD"/>
                <w:sz w:val="21"/>
                <w:szCs w:val="21"/>
              </w:rPr>
              <w:instrText xml:space="preserve">   </w:instrText>
            </w:r>
            <w:r w:rsidRPr="0016102C">
              <w:rPr>
                <w:rFonts w:cs="Segoe UI"/>
                <w:b w:val="0"/>
                <w:color w:val="4F81BD"/>
                <w:sz w:val="21"/>
                <w:szCs w:val="21"/>
              </w:rPr>
              <w:instrText>Assessment of Data Quality—Dimensions 2 and 5—Government Finance Statistics</w:instrText>
            </w:r>
            <w:bookmarkEnd w:id="14"/>
            <w:bookmarkEnd w:id="15"/>
            <w:r w:rsidRPr="0016102C">
              <w:rPr>
                <w:rFonts w:cs="Segoe UI"/>
                <w:b w:val="0"/>
                <w:color w:val="4F81BD"/>
                <w:sz w:val="21"/>
                <w:szCs w:val="21"/>
              </w:rPr>
              <w:cr/>
              <w:instrText xml:space="preserve">"\f B </w:instrText>
            </w:r>
            <w:r w:rsidRPr="0016102C">
              <w:rPr>
                <w:rFonts w:cs="Segoe UI"/>
                <w:b w:val="0"/>
                <w:color w:val="4F81BD"/>
                <w:sz w:val="21"/>
                <w:szCs w:val="21"/>
              </w:rPr>
              <w:fldChar w:fldCharType="end"/>
            </w:r>
            <w:r w:rsidRPr="0016102C">
              <w:rPr>
                <w:rFonts w:cs="Segoe UI"/>
                <w:color w:val="4F81BD"/>
                <w:sz w:val="21"/>
                <w:szCs w:val="21"/>
              </w:rPr>
              <w:t>Table 3d. Assessment of Data Quality—Dimensions 2 and 5—Government Finance Statistics</w:t>
            </w:r>
            <w:bookmarkEnd w:id="9"/>
            <w:bookmarkEnd w:id="10"/>
            <w:bookmarkEnd w:id="11"/>
            <w:bookmarkEnd w:id="12"/>
            <w:bookmarkEnd w:id="13"/>
          </w:p>
        </w:tc>
      </w:tr>
      <w:tr w:rsidR="00BE5834" w:rsidRPr="0016102C" w:rsidTr="002679D4">
        <w:trPr>
          <w:trHeight w:val="278"/>
          <w:jc w:val="center"/>
        </w:trPr>
        <w:tc>
          <w:tcPr>
            <w:tcW w:w="3047" w:type="dxa"/>
            <w:shd w:val="clear" w:color="auto" w:fill="auto"/>
            <w:vAlign w:val="center"/>
          </w:tcPr>
          <w:p w:rsidR="00BE5834" w:rsidRPr="0016102C" w:rsidRDefault="00BE5834" w:rsidP="002679D4">
            <w:pPr>
              <w:spacing w:line="240" w:lineRule="auto"/>
              <w:rPr>
                <w:rFonts w:cs="Segoe UI"/>
                <w:b/>
                <w:color w:val="000000"/>
                <w:sz w:val="17"/>
                <w:szCs w:val="17"/>
              </w:rPr>
            </w:pPr>
            <w:r w:rsidRPr="0016102C">
              <w:rPr>
                <w:rFonts w:cs="Segoe UI"/>
                <w:b/>
                <w:color w:val="000000"/>
                <w:sz w:val="17"/>
                <w:szCs w:val="17"/>
              </w:rPr>
              <w:t>2. Methodological soundness</w:t>
            </w:r>
          </w:p>
        </w:tc>
        <w:tc>
          <w:tcPr>
            <w:tcW w:w="3048" w:type="dxa"/>
            <w:shd w:val="clear" w:color="auto" w:fill="auto"/>
            <w:vAlign w:val="center"/>
          </w:tcPr>
          <w:p w:rsidR="00BE5834" w:rsidRPr="0016102C" w:rsidRDefault="00BE5834" w:rsidP="002679D4">
            <w:pPr>
              <w:spacing w:line="240" w:lineRule="auto"/>
              <w:rPr>
                <w:rFonts w:cs="Segoe UI"/>
                <w:b/>
                <w:color w:val="000000"/>
                <w:sz w:val="17"/>
                <w:szCs w:val="17"/>
              </w:rPr>
            </w:pPr>
            <w:r w:rsidRPr="0016102C">
              <w:rPr>
                <w:rFonts w:cs="Segoe UI"/>
                <w:b/>
                <w:color w:val="000000"/>
                <w:sz w:val="17"/>
                <w:szCs w:val="17"/>
              </w:rPr>
              <w:t>3. Accuracy and reliability</w:t>
            </w:r>
          </w:p>
        </w:tc>
        <w:tc>
          <w:tcPr>
            <w:tcW w:w="3047" w:type="dxa"/>
            <w:shd w:val="clear" w:color="auto" w:fill="auto"/>
            <w:vAlign w:val="center"/>
          </w:tcPr>
          <w:p w:rsidR="00BE5834" w:rsidRPr="0016102C" w:rsidRDefault="00BE5834" w:rsidP="002679D4">
            <w:pPr>
              <w:spacing w:line="240" w:lineRule="auto"/>
              <w:rPr>
                <w:rFonts w:cs="Segoe UI"/>
                <w:b/>
                <w:color w:val="000000"/>
                <w:sz w:val="17"/>
                <w:szCs w:val="17"/>
              </w:rPr>
            </w:pPr>
            <w:r w:rsidRPr="0016102C">
              <w:rPr>
                <w:rFonts w:cs="Segoe UI"/>
                <w:b/>
                <w:sz w:val="17"/>
                <w:szCs w:val="17"/>
              </w:rPr>
              <w:t>4. Serviceability</w:t>
            </w:r>
          </w:p>
        </w:tc>
        <w:tc>
          <w:tcPr>
            <w:tcW w:w="3048" w:type="dxa"/>
            <w:shd w:val="clear" w:color="auto" w:fill="auto"/>
            <w:vAlign w:val="center"/>
          </w:tcPr>
          <w:p w:rsidR="00BE5834" w:rsidRPr="0016102C" w:rsidRDefault="00BE5834" w:rsidP="002679D4">
            <w:pPr>
              <w:spacing w:line="240" w:lineRule="auto"/>
              <w:rPr>
                <w:rFonts w:cs="Segoe UI"/>
                <w:b/>
                <w:color w:val="000000"/>
                <w:sz w:val="17"/>
                <w:szCs w:val="17"/>
              </w:rPr>
            </w:pPr>
            <w:r w:rsidRPr="0016102C">
              <w:rPr>
                <w:rFonts w:cs="Segoe UI"/>
                <w:b/>
                <w:color w:val="000000"/>
                <w:sz w:val="17"/>
                <w:szCs w:val="17"/>
              </w:rPr>
              <w:t>5. Accessibility</w:t>
            </w:r>
          </w:p>
        </w:tc>
      </w:tr>
      <w:tr w:rsidR="00BE5834" w:rsidRPr="00CE6D3B" w:rsidTr="002679D4">
        <w:trPr>
          <w:trHeight w:val="710"/>
          <w:jc w:val="center"/>
        </w:trPr>
        <w:tc>
          <w:tcPr>
            <w:tcW w:w="3047" w:type="dxa"/>
            <w:shd w:val="clear" w:color="auto" w:fill="auto"/>
          </w:tcPr>
          <w:p w:rsidR="00BE5834" w:rsidRPr="00CE6D3B" w:rsidRDefault="00BE5834" w:rsidP="002679D4">
            <w:pPr>
              <w:spacing w:line="240" w:lineRule="auto"/>
              <w:rPr>
                <w:rFonts w:cs="Segoe UI"/>
                <w:b/>
                <w:bCs/>
                <w:color w:val="000000"/>
                <w:sz w:val="16"/>
                <w:szCs w:val="16"/>
              </w:rPr>
            </w:pPr>
            <w:r w:rsidRPr="00CE6D3B">
              <w:rPr>
                <w:rFonts w:cs="Segoe UI"/>
                <w:b/>
                <w:bCs/>
                <w:color w:val="000000"/>
                <w:sz w:val="16"/>
                <w:szCs w:val="16"/>
              </w:rPr>
              <w:t>Concepts and definitions</w:t>
            </w:r>
          </w:p>
          <w:p w:rsidR="00BE5834" w:rsidRPr="00CE6D3B" w:rsidRDefault="00BE5834" w:rsidP="002679D4">
            <w:pPr>
              <w:spacing w:line="240" w:lineRule="auto"/>
              <w:rPr>
                <w:rFonts w:cs="Segoe UI"/>
                <w:color w:val="000000"/>
                <w:sz w:val="16"/>
                <w:szCs w:val="16"/>
              </w:rPr>
            </w:pPr>
            <w:r w:rsidRPr="00CE6D3B">
              <w:rPr>
                <w:rFonts w:cs="Segoe UI"/>
                <w:color w:val="000000"/>
                <w:sz w:val="16"/>
                <w:szCs w:val="16"/>
              </w:rPr>
              <w:t>Fiscal data broadly follow the Government Finance Statistics Manual (GFSM 1986). The MOF bridges data from the fiscal accounts to the GFSM 2001 cash bases of accounting format, when compiling the GFS Yearbook</w:t>
            </w:r>
            <w:r>
              <w:rPr>
                <w:rFonts w:cs="Segoe UI"/>
                <w:color w:val="000000"/>
                <w:sz w:val="16"/>
                <w:szCs w:val="16"/>
              </w:rPr>
              <w:t xml:space="preserve"> (GFSY)</w:t>
            </w:r>
            <w:r w:rsidRPr="00CE6D3B">
              <w:rPr>
                <w:rFonts w:cs="Segoe UI"/>
                <w:color w:val="000000"/>
                <w:sz w:val="16"/>
                <w:szCs w:val="16"/>
              </w:rPr>
              <w:t>. Although data are bridged, some concepts such as the consumption of fixed capital, other accounts payable or imputations are not captured.</w:t>
            </w:r>
          </w:p>
          <w:p w:rsidR="00BE5834" w:rsidRPr="00CE6D3B" w:rsidRDefault="00BE5834" w:rsidP="002679D4">
            <w:pPr>
              <w:spacing w:line="240" w:lineRule="auto"/>
              <w:rPr>
                <w:rFonts w:cs="Segoe UI"/>
                <w:b/>
                <w:bCs/>
                <w:color w:val="000000"/>
                <w:sz w:val="16"/>
                <w:szCs w:val="16"/>
              </w:rPr>
            </w:pPr>
            <w:r w:rsidRPr="00CE6D3B">
              <w:rPr>
                <w:rFonts w:cs="Segoe UI"/>
                <w:b/>
                <w:bCs/>
                <w:color w:val="000000"/>
                <w:sz w:val="16"/>
                <w:szCs w:val="16"/>
              </w:rPr>
              <w:t>Scope</w:t>
            </w:r>
          </w:p>
          <w:p w:rsidR="00BE5834" w:rsidRPr="00CE6D3B" w:rsidRDefault="00BE5834" w:rsidP="002679D4">
            <w:pPr>
              <w:spacing w:line="240" w:lineRule="auto"/>
              <w:rPr>
                <w:rFonts w:cs="Segoe UI"/>
                <w:color w:val="000000"/>
                <w:sz w:val="16"/>
                <w:szCs w:val="16"/>
              </w:rPr>
            </w:pPr>
            <w:r w:rsidRPr="00CE6D3B">
              <w:rPr>
                <w:rFonts w:cs="Segoe UI"/>
                <w:color w:val="000000"/>
                <w:sz w:val="16"/>
                <w:szCs w:val="16"/>
              </w:rPr>
              <w:t>The GFS scope is not fully consistent with international standards, since gaps remain. Only the revenue, expense and balance sheet flows data of the budgetary central government are published, although stock positions are also available. Sovereign Wealth Funds are excluded in the compilation of GFS for the budgetary central government.</w:t>
            </w:r>
          </w:p>
          <w:p w:rsidR="00BE5834" w:rsidRPr="00CE6D3B" w:rsidRDefault="00BE5834" w:rsidP="002679D4">
            <w:pPr>
              <w:spacing w:line="240" w:lineRule="auto"/>
              <w:rPr>
                <w:rFonts w:cs="Segoe UI"/>
                <w:b/>
                <w:bCs/>
                <w:color w:val="000000"/>
                <w:sz w:val="16"/>
                <w:szCs w:val="16"/>
              </w:rPr>
            </w:pPr>
            <w:r w:rsidRPr="00CE6D3B">
              <w:rPr>
                <w:rFonts w:cs="Segoe UI"/>
                <w:b/>
                <w:bCs/>
                <w:color w:val="000000"/>
                <w:sz w:val="16"/>
                <w:szCs w:val="16"/>
              </w:rPr>
              <w:t>Classification/sectorization</w:t>
            </w:r>
          </w:p>
          <w:p w:rsidR="00BE5834" w:rsidRPr="00CE6D3B" w:rsidRDefault="00BE5834" w:rsidP="002679D4">
            <w:pPr>
              <w:spacing w:line="240" w:lineRule="auto"/>
              <w:rPr>
                <w:rFonts w:cs="Segoe UI"/>
                <w:color w:val="000000"/>
                <w:sz w:val="16"/>
                <w:szCs w:val="16"/>
              </w:rPr>
            </w:pPr>
            <w:r w:rsidRPr="00CE6D3B">
              <w:rPr>
                <w:rFonts w:cs="Segoe UI"/>
                <w:color w:val="000000"/>
                <w:sz w:val="16"/>
                <w:szCs w:val="16"/>
              </w:rPr>
              <w:t>Classification and sectorization are broadly in line with GFSM 2001 guidelines. A noteworthy caveat is that the Current defense and security expenditure includes compensation of employees and acquisition of nonfinancial asset</w:t>
            </w:r>
            <w:r>
              <w:rPr>
                <w:rFonts w:cs="Segoe UI"/>
                <w:color w:val="000000"/>
                <w:sz w:val="16"/>
                <w:szCs w:val="16"/>
              </w:rPr>
              <w:t>s</w:t>
            </w:r>
            <w:r w:rsidRPr="00CE6D3B">
              <w:rPr>
                <w:rFonts w:cs="Segoe UI"/>
                <w:color w:val="000000"/>
                <w:sz w:val="16"/>
                <w:szCs w:val="16"/>
              </w:rPr>
              <w:t xml:space="preserve"> that cannot be delineated.</w:t>
            </w:r>
          </w:p>
          <w:p w:rsidR="00BE5834" w:rsidRPr="00CE6D3B" w:rsidRDefault="00BE5834" w:rsidP="002679D4">
            <w:pPr>
              <w:spacing w:line="240" w:lineRule="auto"/>
              <w:rPr>
                <w:rFonts w:cs="Segoe UI"/>
                <w:b/>
                <w:bCs/>
                <w:color w:val="000000"/>
                <w:sz w:val="16"/>
                <w:szCs w:val="16"/>
              </w:rPr>
            </w:pPr>
            <w:r w:rsidRPr="00CE6D3B">
              <w:rPr>
                <w:rFonts w:cs="Segoe UI"/>
                <w:b/>
                <w:bCs/>
                <w:color w:val="000000"/>
                <w:sz w:val="16"/>
                <w:szCs w:val="16"/>
              </w:rPr>
              <w:t>Basis for recording</w:t>
            </w:r>
          </w:p>
          <w:p w:rsidR="00BE5834" w:rsidRPr="00CE6D3B" w:rsidRDefault="00BE5834" w:rsidP="002679D4">
            <w:pPr>
              <w:spacing w:line="240" w:lineRule="auto"/>
              <w:rPr>
                <w:rFonts w:cs="Segoe UI"/>
                <w:b/>
                <w:bCs/>
                <w:color w:val="000000"/>
                <w:sz w:val="16"/>
                <w:szCs w:val="16"/>
              </w:rPr>
            </w:pPr>
            <w:r w:rsidRPr="00CE6D3B">
              <w:rPr>
                <w:rFonts w:cs="Segoe UI"/>
                <w:color w:val="000000"/>
                <w:sz w:val="16"/>
                <w:szCs w:val="16"/>
              </w:rPr>
              <w:t>Transactions data are recorded on cash basis. Stock position data are only available at face or book value.</w:t>
            </w:r>
          </w:p>
        </w:tc>
        <w:tc>
          <w:tcPr>
            <w:tcW w:w="3048" w:type="dxa"/>
            <w:shd w:val="clear" w:color="auto" w:fill="auto"/>
          </w:tcPr>
          <w:p w:rsidR="00BE5834" w:rsidRPr="00CE6D3B" w:rsidRDefault="00BE5834" w:rsidP="002679D4">
            <w:pPr>
              <w:spacing w:line="240" w:lineRule="auto"/>
              <w:rPr>
                <w:rFonts w:cs="Segoe UI"/>
                <w:b/>
                <w:bCs/>
                <w:color w:val="000000"/>
                <w:sz w:val="16"/>
                <w:szCs w:val="16"/>
              </w:rPr>
            </w:pPr>
            <w:r w:rsidRPr="00CE6D3B">
              <w:rPr>
                <w:rFonts w:cs="Segoe UI"/>
                <w:b/>
                <w:bCs/>
                <w:color w:val="000000"/>
                <w:sz w:val="16"/>
                <w:szCs w:val="16"/>
              </w:rPr>
              <w:t>Source data</w:t>
            </w:r>
          </w:p>
          <w:p w:rsidR="00BE5834" w:rsidRPr="00CE6D3B" w:rsidRDefault="00BE5834" w:rsidP="002679D4">
            <w:pPr>
              <w:spacing w:line="240" w:lineRule="auto"/>
              <w:rPr>
                <w:rFonts w:cs="Segoe UI"/>
                <w:color w:val="000000"/>
                <w:sz w:val="16"/>
                <w:szCs w:val="16"/>
              </w:rPr>
            </w:pPr>
            <w:r w:rsidRPr="00CE6D3B">
              <w:rPr>
                <w:rFonts w:cs="Segoe UI"/>
                <w:color w:val="000000"/>
                <w:sz w:val="16"/>
                <w:szCs w:val="16"/>
              </w:rPr>
              <w:t xml:space="preserve">The MOF obtains source data for the GFS on budgetary central government ministries and units from comprehensive and fully electronic and hard copy administrative records. However, for other units the MOF does not have a secure collection remit that is supported by the </w:t>
            </w:r>
            <w:r w:rsidRPr="00CE6D3B">
              <w:rPr>
                <w:rFonts w:cs="Segoe UI"/>
                <w:i/>
                <w:iCs/>
                <w:color w:val="000000"/>
                <w:sz w:val="16"/>
                <w:szCs w:val="16"/>
              </w:rPr>
              <w:t>Statistical Law</w:t>
            </w:r>
            <w:r w:rsidRPr="00CE6D3B">
              <w:rPr>
                <w:rFonts w:cs="Segoe UI"/>
                <w:color w:val="000000"/>
                <w:sz w:val="16"/>
                <w:szCs w:val="16"/>
              </w:rPr>
              <w:t xml:space="preserve">. </w:t>
            </w:r>
            <w:proofErr w:type="gramStart"/>
            <w:r w:rsidRPr="00CE6D3B">
              <w:rPr>
                <w:rFonts w:cs="Segoe UI"/>
                <w:color w:val="000000"/>
                <w:sz w:val="16"/>
                <w:szCs w:val="16"/>
              </w:rPr>
              <w:t>Non civil</w:t>
            </w:r>
            <w:proofErr w:type="gramEnd"/>
            <w:r w:rsidRPr="00CE6D3B">
              <w:rPr>
                <w:rFonts w:cs="Segoe UI"/>
                <w:color w:val="000000"/>
                <w:sz w:val="16"/>
                <w:szCs w:val="16"/>
              </w:rPr>
              <w:t xml:space="preserve"> service ministries data are recorded on an aggregated level, whereby a significant part of expenditure is appropriated to an </w:t>
            </w:r>
            <w:r>
              <w:rPr>
                <w:rFonts w:cs="Segoe UI"/>
                <w:color w:val="000000"/>
                <w:sz w:val="16"/>
                <w:szCs w:val="16"/>
              </w:rPr>
              <w:t>inappropriate</w:t>
            </w:r>
            <w:r w:rsidRPr="00CE6D3B">
              <w:rPr>
                <w:rFonts w:cs="Segoe UI"/>
                <w:color w:val="000000"/>
                <w:sz w:val="16"/>
                <w:szCs w:val="16"/>
              </w:rPr>
              <w:t xml:space="preserve"> classification. All source data are received timely. </w:t>
            </w:r>
          </w:p>
          <w:p w:rsidR="00BE5834" w:rsidRPr="00CE6D3B" w:rsidRDefault="00BE5834" w:rsidP="002679D4">
            <w:pPr>
              <w:spacing w:line="240" w:lineRule="auto"/>
              <w:rPr>
                <w:rFonts w:cs="Segoe UI"/>
                <w:b/>
                <w:bCs/>
                <w:color w:val="000000"/>
                <w:sz w:val="16"/>
                <w:szCs w:val="16"/>
              </w:rPr>
            </w:pPr>
            <w:r w:rsidRPr="00CE6D3B">
              <w:rPr>
                <w:rFonts w:cs="Segoe UI"/>
                <w:b/>
                <w:bCs/>
                <w:color w:val="000000"/>
                <w:sz w:val="16"/>
                <w:szCs w:val="16"/>
              </w:rPr>
              <w:t>Assessment of source data</w:t>
            </w:r>
          </w:p>
          <w:p w:rsidR="00BE5834" w:rsidRPr="00CE6D3B" w:rsidRDefault="00BE5834" w:rsidP="002679D4">
            <w:pPr>
              <w:spacing w:line="240" w:lineRule="auto"/>
              <w:rPr>
                <w:rFonts w:cs="Segoe UI"/>
                <w:color w:val="000000"/>
                <w:sz w:val="16"/>
                <w:szCs w:val="16"/>
              </w:rPr>
            </w:pPr>
            <w:r w:rsidRPr="00CE6D3B">
              <w:rPr>
                <w:rFonts w:cs="Segoe UI"/>
                <w:color w:val="000000"/>
                <w:sz w:val="16"/>
                <w:szCs w:val="16"/>
              </w:rPr>
              <w:t xml:space="preserve">Source data </w:t>
            </w:r>
            <w:r>
              <w:rPr>
                <w:rFonts w:cs="Segoe UI"/>
                <w:color w:val="000000"/>
                <w:sz w:val="16"/>
                <w:szCs w:val="16"/>
              </w:rPr>
              <w:t>are</w:t>
            </w:r>
            <w:r w:rsidRPr="00CE6D3B">
              <w:rPr>
                <w:rFonts w:cs="Segoe UI"/>
                <w:color w:val="000000"/>
                <w:sz w:val="16"/>
                <w:szCs w:val="16"/>
              </w:rPr>
              <w:t xml:space="preserve"> mainly based on administrative </w:t>
            </w:r>
            <w:r>
              <w:rPr>
                <w:rFonts w:cs="Segoe UI"/>
                <w:color w:val="000000"/>
                <w:sz w:val="16"/>
                <w:szCs w:val="16"/>
              </w:rPr>
              <w:t>records</w:t>
            </w:r>
            <w:r w:rsidRPr="00CE6D3B">
              <w:rPr>
                <w:rFonts w:cs="Segoe UI"/>
                <w:color w:val="000000"/>
                <w:sz w:val="16"/>
                <w:szCs w:val="16"/>
              </w:rPr>
              <w:t xml:space="preserve"> and are sufficiently assessed through internal and external audit controls. </w:t>
            </w:r>
          </w:p>
          <w:p w:rsidR="00BE5834" w:rsidRPr="00CE6D3B" w:rsidRDefault="00BE5834" w:rsidP="002679D4">
            <w:pPr>
              <w:spacing w:line="240" w:lineRule="auto"/>
              <w:rPr>
                <w:rFonts w:cs="Segoe UI"/>
                <w:b/>
                <w:bCs/>
                <w:color w:val="000000"/>
                <w:sz w:val="16"/>
                <w:szCs w:val="16"/>
              </w:rPr>
            </w:pPr>
            <w:r w:rsidRPr="00CE6D3B">
              <w:rPr>
                <w:rFonts w:cs="Segoe UI"/>
                <w:b/>
                <w:bCs/>
                <w:color w:val="000000"/>
                <w:sz w:val="16"/>
                <w:szCs w:val="16"/>
              </w:rPr>
              <w:t>Statistical techniques</w:t>
            </w:r>
          </w:p>
          <w:p w:rsidR="00BE5834" w:rsidRPr="00CE6D3B" w:rsidRDefault="00BE5834" w:rsidP="002679D4">
            <w:pPr>
              <w:spacing w:line="240" w:lineRule="auto"/>
              <w:rPr>
                <w:rFonts w:cs="Segoe UI"/>
                <w:color w:val="000000"/>
                <w:sz w:val="16"/>
                <w:szCs w:val="16"/>
              </w:rPr>
            </w:pPr>
            <w:r w:rsidRPr="00CE6D3B">
              <w:rPr>
                <w:rFonts w:cs="Segoe UI"/>
                <w:color w:val="000000"/>
                <w:sz w:val="16"/>
                <w:szCs w:val="16"/>
              </w:rPr>
              <w:t>Generally, data compilation employs sound statistical techniques to deal with data sources, which are mainly administrative.</w:t>
            </w:r>
          </w:p>
          <w:p w:rsidR="00BE5834" w:rsidRPr="00CE6D3B" w:rsidRDefault="00BE5834" w:rsidP="002679D4">
            <w:pPr>
              <w:spacing w:line="240" w:lineRule="auto"/>
              <w:rPr>
                <w:rFonts w:cs="Segoe UI"/>
                <w:b/>
                <w:bCs/>
                <w:color w:val="000000"/>
                <w:sz w:val="16"/>
                <w:szCs w:val="16"/>
              </w:rPr>
            </w:pPr>
            <w:r w:rsidRPr="00CE6D3B">
              <w:rPr>
                <w:rFonts w:cs="Segoe UI"/>
                <w:b/>
                <w:bCs/>
                <w:color w:val="000000"/>
                <w:sz w:val="16"/>
                <w:szCs w:val="16"/>
              </w:rPr>
              <w:t>Assessment and validation of intermediate data and statistical outputs</w:t>
            </w:r>
          </w:p>
          <w:p w:rsidR="00BE5834" w:rsidRPr="00CE6D3B" w:rsidRDefault="00BE5834" w:rsidP="002679D4">
            <w:pPr>
              <w:spacing w:line="240" w:lineRule="auto"/>
              <w:rPr>
                <w:rFonts w:cs="Segoe UI"/>
                <w:color w:val="000000"/>
                <w:sz w:val="16"/>
                <w:szCs w:val="16"/>
              </w:rPr>
            </w:pPr>
            <w:r w:rsidRPr="00CE6D3B">
              <w:rPr>
                <w:rFonts w:cs="Segoe UI"/>
                <w:color w:val="000000"/>
                <w:sz w:val="16"/>
                <w:szCs w:val="16"/>
              </w:rPr>
              <w:t>Strict legal requirements and well-established management practices have led to continued assessment and validation of intermediate data and statistical outputs.</w:t>
            </w:r>
          </w:p>
          <w:p w:rsidR="00BE5834" w:rsidRPr="00CE6D3B" w:rsidRDefault="00BE5834" w:rsidP="002679D4">
            <w:pPr>
              <w:spacing w:line="240" w:lineRule="auto"/>
              <w:rPr>
                <w:rFonts w:cs="Segoe UI"/>
                <w:b/>
                <w:bCs/>
                <w:color w:val="000000"/>
                <w:sz w:val="16"/>
                <w:szCs w:val="16"/>
              </w:rPr>
            </w:pPr>
            <w:r w:rsidRPr="00CE6D3B">
              <w:rPr>
                <w:rFonts w:cs="Segoe UI"/>
                <w:b/>
                <w:bCs/>
                <w:color w:val="000000"/>
                <w:sz w:val="16"/>
                <w:szCs w:val="16"/>
              </w:rPr>
              <w:t>Revision studies</w:t>
            </w:r>
          </w:p>
          <w:p w:rsidR="00BE5834" w:rsidRPr="00CE6D3B" w:rsidRDefault="00BE5834" w:rsidP="002679D4">
            <w:pPr>
              <w:spacing w:line="240" w:lineRule="auto"/>
              <w:rPr>
                <w:rFonts w:cs="Segoe UI"/>
                <w:color w:val="000000"/>
                <w:sz w:val="16"/>
                <w:szCs w:val="16"/>
              </w:rPr>
            </w:pPr>
            <w:r w:rsidRPr="00CE6D3B">
              <w:rPr>
                <w:rFonts w:cs="Segoe UI"/>
                <w:color w:val="000000"/>
                <w:sz w:val="16"/>
                <w:szCs w:val="16"/>
              </w:rPr>
              <w:t>The well-documented audit trail serves as revision studies. Audit reports document the nature of any discrepancies discovered.</w:t>
            </w:r>
          </w:p>
        </w:tc>
        <w:tc>
          <w:tcPr>
            <w:tcW w:w="3047" w:type="dxa"/>
            <w:shd w:val="clear" w:color="auto" w:fill="auto"/>
          </w:tcPr>
          <w:p w:rsidR="00BE5834" w:rsidRPr="00CE6D3B" w:rsidRDefault="00BE5834" w:rsidP="002679D4">
            <w:pPr>
              <w:spacing w:line="240" w:lineRule="auto"/>
              <w:rPr>
                <w:rFonts w:cs="Segoe UI"/>
                <w:b/>
                <w:bCs/>
                <w:color w:val="000000"/>
                <w:sz w:val="16"/>
                <w:szCs w:val="16"/>
              </w:rPr>
            </w:pPr>
            <w:r w:rsidRPr="00CE6D3B">
              <w:rPr>
                <w:rFonts w:cs="Segoe UI"/>
                <w:b/>
                <w:bCs/>
                <w:color w:val="000000"/>
                <w:sz w:val="16"/>
                <w:szCs w:val="16"/>
              </w:rPr>
              <w:t>Periodicity and timeliness</w:t>
            </w:r>
          </w:p>
          <w:p w:rsidR="00BE5834" w:rsidRPr="00CE6D3B" w:rsidRDefault="00BE5834" w:rsidP="002679D4">
            <w:pPr>
              <w:spacing w:line="240" w:lineRule="auto"/>
              <w:rPr>
                <w:rFonts w:cs="Segoe UI"/>
                <w:color w:val="000000"/>
                <w:sz w:val="16"/>
                <w:szCs w:val="16"/>
              </w:rPr>
            </w:pPr>
            <w:r w:rsidRPr="00CE6D3B">
              <w:rPr>
                <w:rFonts w:cs="Segoe UI"/>
                <w:color w:val="000000"/>
                <w:sz w:val="16"/>
                <w:szCs w:val="16"/>
              </w:rPr>
              <w:t>Revenue and expenditure data for budgetary central government are disseminated annually and monthly, which adheres to the GDDS recommendations. Debt data are only disseminated annually, which does not adhere to the GDDS good practices.  Although monthly operations data are generally published within 45 days after the end of the reference month, December final data are published 6 months after the reference month.</w:t>
            </w:r>
          </w:p>
          <w:p w:rsidR="00BE5834" w:rsidRPr="00CE6D3B" w:rsidRDefault="00BE5834" w:rsidP="002679D4">
            <w:pPr>
              <w:spacing w:line="240" w:lineRule="auto"/>
              <w:rPr>
                <w:rFonts w:cs="Segoe UI"/>
                <w:b/>
                <w:bCs/>
                <w:color w:val="000000"/>
                <w:sz w:val="16"/>
                <w:szCs w:val="16"/>
              </w:rPr>
            </w:pPr>
            <w:r w:rsidRPr="00CE6D3B">
              <w:rPr>
                <w:rFonts w:cs="Segoe UI"/>
                <w:b/>
                <w:bCs/>
                <w:color w:val="000000"/>
                <w:sz w:val="16"/>
                <w:szCs w:val="16"/>
              </w:rPr>
              <w:t>Consistency</w:t>
            </w:r>
          </w:p>
          <w:p w:rsidR="00BE5834" w:rsidRPr="00CE6D3B" w:rsidRDefault="00BE5834" w:rsidP="002679D4">
            <w:pPr>
              <w:spacing w:line="240" w:lineRule="auto"/>
              <w:rPr>
                <w:rFonts w:cs="Segoe UI"/>
                <w:color w:val="000000"/>
                <w:sz w:val="16"/>
                <w:szCs w:val="16"/>
              </w:rPr>
            </w:pPr>
            <w:r w:rsidRPr="00CE6D3B">
              <w:rPr>
                <w:rFonts w:cs="Segoe UI"/>
                <w:color w:val="000000"/>
                <w:sz w:val="16"/>
                <w:szCs w:val="16"/>
              </w:rPr>
              <w:t>G</w:t>
            </w:r>
            <w:r>
              <w:rPr>
                <w:rFonts w:cs="Segoe UI"/>
                <w:color w:val="000000"/>
                <w:sz w:val="16"/>
                <w:szCs w:val="16"/>
              </w:rPr>
              <w:t>FS</w:t>
            </w:r>
            <w:r w:rsidRPr="00CE6D3B">
              <w:rPr>
                <w:rFonts w:cs="Segoe UI"/>
                <w:color w:val="000000"/>
                <w:sz w:val="16"/>
                <w:szCs w:val="16"/>
              </w:rPr>
              <w:t xml:space="preserve"> data are consistent internally and over time. Consistency between GFSY, balance of payments, and national accounts cannot be verified.</w:t>
            </w:r>
          </w:p>
          <w:p w:rsidR="00BE5834" w:rsidRPr="00CE6D3B" w:rsidRDefault="00BE5834" w:rsidP="002679D4">
            <w:pPr>
              <w:spacing w:line="240" w:lineRule="auto"/>
              <w:rPr>
                <w:rFonts w:cs="Segoe UI"/>
                <w:b/>
                <w:bCs/>
                <w:color w:val="000000"/>
                <w:sz w:val="16"/>
                <w:szCs w:val="16"/>
              </w:rPr>
            </w:pPr>
            <w:r w:rsidRPr="00CE6D3B">
              <w:rPr>
                <w:rFonts w:cs="Segoe UI"/>
                <w:b/>
                <w:bCs/>
                <w:color w:val="000000"/>
                <w:sz w:val="16"/>
                <w:szCs w:val="16"/>
              </w:rPr>
              <w:t>Revision policy and practice</w:t>
            </w:r>
          </w:p>
          <w:p w:rsidR="00BE5834" w:rsidRPr="00CE6D3B" w:rsidRDefault="00BE5834" w:rsidP="002679D4">
            <w:pPr>
              <w:spacing w:line="240" w:lineRule="auto"/>
              <w:rPr>
                <w:rFonts w:cs="Segoe UI"/>
                <w:color w:val="000000"/>
                <w:sz w:val="16"/>
                <w:szCs w:val="16"/>
              </w:rPr>
            </w:pPr>
            <w:r w:rsidRPr="00CE6D3B">
              <w:rPr>
                <w:rFonts w:cs="Segoe UI"/>
                <w:color w:val="000000"/>
                <w:sz w:val="16"/>
                <w:szCs w:val="16"/>
              </w:rPr>
              <w:t>The revision policy and practice are primarily determined by the internal and external controls mandated by the legal framework. Revisions are affected after audits have been performed. In practice revisions are immaterial.</w:t>
            </w:r>
          </w:p>
        </w:tc>
        <w:tc>
          <w:tcPr>
            <w:tcW w:w="3048" w:type="dxa"/>
            <w:shd w:val="clear" w:color="auto" w:fill="auto"/>
          </w:tcPr>
          <w:p w:rsidR="00BE5834" w:rsidRPr="00CE6D3B" w:rsidRDefault="00BE5834" w:rsidP="002679D4">
            <w:pPr>
              <w:spacing w:line="240" w:lineRule="auto"/>
              <w:rPr>
                <w:rFonts w:cs="Segoe UI"/>
                <w:b/>
                <w:bCs/>
                <w:color w:val="000000"/>
                <w:sz w:val="16"/>
                <w:szCs w:val="16"/>
              </w:rPr>
            </w:pPr>
            <w:r w:rsidRPr="00CE6D3B">
              <w:rPr>
                <w:rFonts w:cs="Segoe UI"/>
                <w:b/>
                <w:bCs/>
                <w:color w:val="000000"/>
                <w:sz w:val="16"/>
                <w:szCs w:val="16"/>
              </w:rPr>
              <w:t>Data accessibility</w:t>
            </w:r>
          </w:p>
          <w:p w:rsidR="00BE5834" w:rsidRPr="00CE6D3B" w:rsidRDefault="00BE5834" w:rsidP="002679D4">
            <w:pPr>
              <w:spacing w:line="240" w:lineRule="auto"/>
              <w:rPr>
                <w:rFonts w:cs="Segoe UI"/>
                <w:color w:val="000000"/>
                <w:sz w:val="16"/>
                <w:szCs w:val="16"/>
              </w:rPr>
            </w:pPr>
            <w:r w:rsidRPr="00CE6D3B">
              <w:rPr>
                <w:rFonts w:cs="Segoe UI"/>
                <w:color w:val="000000"/>
                <w:sz w:val="16"/>
                <w:szCs w:val="16"/>
              </w:rPr>
              <w:t>GFS accessibility could be improved in a number of aspects. Annual GFS are only disseminated in the GFS</w:t>
            </w:r>
            <w:r>
              <w:rPr>
                <w:rFonts w:cs="Segoe UI"/>
                <w:color w:val="000000"/>
                <w:sz w:val="16"/>
                <w:szCs w:val="16"/>
              </w:rPr>
              <w:t>Y</w:t>
            </w:r>
            <w:r w:rsidRPr="00CE6D3B">
              <w:rPr>
                <w:rFonts w:cs="Segoe UI"/>
                <w:color w:val="000000"/>
                <w:sz w:val="16"/>
                <w:szCs w:val="16"/>
              </w:rPr>
              <w:t xml:space="preserve">. Fiscal data </w:t>
            </w:r>
            <w:r>
              <w:rPr>
                <w:rFonts w:cs="Segoe UI"/>
                <w:color w:val="000000"/>
                <w:sz w:val="16"/>
                <w:szCs w:val="16"/>
              </w:rPr>
              <w:t>are</w:t>
            </w:r>
            <w:r w:rsidRPr="00CE6D3B">
              <w:rPr>
                <w:rFonts w:cs="Segoe UI"/>
                <w:color w:val="000000"/>
                <w:sz w:val="16"/>
                <w:szCs w:val="16"/>
              </w:rPr>
              <w:t xml:space="preserve"> available monthly in Excel or PDF format on the websites of the </w:t>
            </w:r>
            <w:r>
              <w:rPr>
                <w:rFonts w:cs="Segoe UI"/>
                <w:color w:val="000000"/>
                <w:sz w:val="16"/>
                <w:szCs w:val="16"/>
              </w:rPr>
              <w:t>CBE</w:t>
            </w:r>
            <w:r w:rsidRPr="00CE6D3B">
              <w:rPr>
                <w:rFonts w:cs="Segoe UI"/>
                <w:color w:val="000000"/>
                <w:sz w:val="16"/>
                <w:szCs w:val="16"/>
              </w:rPr>
              <w:t xml:space="preserve"> and </w:t>
            </w:r>
            <w:r>
              <w:rPr>
                <w:rFonts w:cs="Segoe UI"/>
                <w:color w:val="000000"/>
                <w:sz w:val="16"/>
                <w:szCs w:val="16"/>
              </w:rPr>
              <w:t>NSOE</w:t>
            </w:r>
            <w:r w:rsidRPr="00CE6D3B">
              <w:rPr>
                <w:rFonts w:cs="Segoe UI"/>
                <w:color w:val="000000"/>
                <w:sz w:val="16"/>
                <w:szCs w:val="16"/>
              </w:rPr>
              <w:t xml:space="preserve">, and annually on the MOF website. However, </w:t>
            </w:r>
            <w:r>
              <w:rPr>
                <w:rFonts w:cs="Segoe UI"/>
                <w:color w:val="000000"/>
                <w:sz w:val="16"/>
                <w:szCs w:val="16"/>
              </w:rPr>
              <w:t xml:space="preserve">there is </w:t>
            </w:r>
            <w:r w:rsidRPr="00CE6D3B">
              <w:rPr>
                <w:rFonts w:cs="Segoe UI"/>
                <w:color w:val="000000"/>
                <w:sz w:val="16"/>
                <w:szCs w:val="16"/>
              </w:rPr>
              <w:t>no database that contains a long times series.</w:t>
            </w:r>
          </w:p>
          <w:p w:rsidR="00BE5834" w:rsidRPr="00CE6D3B" w:rsidRDefault="00BE5834" w:rsidP="002679D4">
            <w:pPr>
              <w:spacing w:line="240" w:lineRule="auto"/>
              <w:rPr>
                <w:rFonts w:cs="Segoe UI"/>
                <w:b/>
                <w:bCs/>
                <w:color w:val="000000"/>
                <w:sz w:val="16"/>
                <w:szCs w:val="16"/>
              </w:rPr>
            </w:pPr>
            <w:r w:rsidRPr="00CE6D3B">
              <w:rPr>
                <w:rFonts w:cs="Segoe UI"/>
                <w:b/>
                <w:bCs/>
                <w:color w:val="000000"/>
                <w:sz w:val="16"/>
                <w:szCs w:val="16"/>
              </w:rPr>
              <w:t>Metadata accessibility</w:t>
            </w:r>
          </w:p>
          <w:p w:rsidR="00BE5834" w:rsidRPr="00CE6D3B" w:rsidRDefault="00BE5834" w:rsidP="002679D4">
            <w:pPr>
              <w:spacing w:line="240" w:lineRule="auto"/>
              <w:rPr>
                <w:rFonts w:cs="Segoe UI"/>
                <w:color w:val="000000"/>
                <w:sz w:val="16"/>
                <w:szCs w:val="16"/>
              </w:rPr>
            </w:pPr>
            <w:r w:rsidRPr="00CE6D3B">
              <w:rPr>
                <w:rFonts w:cs="Segoe UI"/>
                <w:color w:val="000000"/>
                <w:sz w:val="16"/>
                <w:szCs w:val="16"/>
              </w:rPr>
              <w:t>Summarized metadata accessibility is only facilitated by the summary methodologies available on the IMF’s DSBB website</w:t>
            </w:r>
            <w:r>
              <w:rPr>
                <w:rFonts w:cs="Segoe UI"/>
                <w:color w:val="000000"/>
                <w:sz w:val="16"/>
                <w:szCs w:val="16"/>
              </w:rPr>
              <w:t xml:space="preserve"> (GDDS metadata)</w:t>
            </w:r>
            <w:r w:rsidRPr="00CE6D3B">
              <w:rPr>
                <w:rFonts w:cs="Segoe UI"/>
                <w:color w:val="000000"/>
                <w:sz w:val="16"/>
                <w:szCs w:val="16"/>
              </w:rPr>
              <w:t>, but no cross-reference to this website or a hyperlink is provided in national websites.</w:t>
            </w:r>
          </w:p>
          <w:p w:rsidR="00BE5834" w:rsidRPr="00CE6D3B" w:rsidRDefault="00BE5834" w:rsidP="002679D4">
            <w:pPr>
              <w:spacing w:line="240" w:lineRule="auto"/>
              <w:rPr>
                <w:rFonts w:cs="Segoe UI"/>
                <w:b/>
                <w:bCs/>
                <w:color w:val="000000"/>
                <w:sz w:val="16"/>
                <w:szCs w:val="16"/>
              </w:rPr>
            </w:pPr>
            <w:r w:rsidRPr="00CE6D3B">
              <w:rPr>
                <w:rFonts w:cs="Segoe UI"/>
                <w:b/>
                <w:bCs/>
                <w:color w:val="000000"/>
                <w:sz w:val="16"/>
                <w:szCs w:val="16"/>
              </w:rPr>
              <w:t>Assistance to users</w:t>
            </w:r>
          </w:p>
          <w:p w:rsidR="00BE5834" w:rsidRPr="00CE6D3B" w:rsidRDefault="00BE5834" w:rsidP="002679D4">
            <w:pPr>
              <w:spacing w:line="240" w:lineRule="auto"/>
              <w:rPr>
                <w:rFonts w:cs="Segoe UI"/>
                <w:color w:val="000000"/>
                <w:sz w:val="16"/>
                <w:szCs w:val="16"/>
              </w:rPr>
            </w:pPr>
            <w:r w:rsidRPr="00CE6D3B">
              <w:rPr>
                <w:rFonts w:cs="Segoe UI"/>
                <w:color w:val="000000"/>
                <w:sz w:val="16"/>
                <w:szCs w:val="16"/>
              </w:rPr>
              <w:t>Users can contact the MOF, CB</w:t>
            </w:r>
            <w:r>
              <w:rPr>
                <w:rFonts w:cs="Segoe UI"/>
                <w:color w:val="000000"/>
                <w:sz w:val="16"/>
                <w:szCs w:val="16"/>
              </w:rPr>
              <w:t>E</w:t>
            </w:r>
            <w:r w:rsidRPr="00CE6D3B">
              <w:rPr>
                <w:rFonts w:cs="Segoe UI"/>
                <w:color w:val="000000"/>
                <w:sz w:val="16"/>
                <w:szCs w:val="16"/>
              </w:rPr>
              <w:t xml:space="preserve"> or NS</w:t>
            </w:r>
            <w:r>
              <w:rPr>
                <w:rFonts w:cs="Segoe UI"/>
                <w:color w:val="000000"/>
                <w:sz w:val="16"/>
                <w:szCs w:val="16"/>
              </w:rPr>
              <w:t>OE</w:t>
            </w:r>
            <w:r w:rsidRPr="00CE6D3B">
              <w:rPr>
                <w:rFonts w:cs="Segoe UI"/>
                <w:color w:val="000000"/>
                <w:sz w:val="16"/>
                <w:szCs w:val="16"/>
              </w:rPr>
              <w:t xml:space="preserve"> through centralized contact points.</w:t>
            </w:r>
          </w:p>
        </w:tc>
      </w:tr>
    </w:tbl>
    <w:p w:rsidR="0062783F" w:rsidRDefault="0062783F" w:rsidP="00BE5834">
      <w:pPr>
        <w:ind w:right="1440"/>
        <w:rPr>
          <w:rFonts w:ascii="Segoe UI" w:hAnsi="Segoe UI" w:cs="Segoe UI"/>
          <w:sz w:val="16"/>
          <w:szCs w:val="16"/>
        </w:rPr>
      </w:pPr>
    </w:p>
    <w:p w:rsidR="0062783F" w:rsidRDefault="0062783F" w:rsidP="0054074A">
      <w:pPr>
        <w:ind w:right="1440"/>
        <w:rPr>
          <w:rFonts w:ascii="Segoe UI" w:hAnsi="Segoe UI" w:cs="Segoe UI"/>
          <w:sz w:val="16"/>
          <w:szCs w:val="16"/>
        </w:rPr>
      </w:pPr>
    </w:p>
    <w:sectPr w:rsidR="0062783F" w:rsidSect="00385816">
      <w:headerReference w:type="default" r:id="rId7"/>
      <w:headerReference w:type="first" r:id="rId8"/>
      <w:pgSz w:w="15840" w:h="12240" w:orient="landscape"/>
      <w:pgMar w:top="180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5458" w:rsidRDefault="00AE5458" w:rsidP="000B7010">
      <w:pPr>
        <w:spacing w:line="240" w:lineRule="auto"/>
      </w:pPr>
      <w:r>
        <w:separator/>
      </w:r>
    </w:p>
  </w:endnote>
  <w:endnote w:type="continuationSeparator" w:id="0">
    <w:p w:rsidR="00AE5458" w:rsidRDefault="00AE5458" w:rsidP="000B70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5458" w:rsidRDefault="00AE5458" w:rsidP="000B7010">
      <w:pPr>
        <w:spacing w:line="240" w:lineRule="auto"/>
      </w:pPr>
      <w:r>
        <w:separator/>
      </w:r>
    </w:p>
  </w:footnote>
  <w:footnote w:type="continuationSeparator" w:id="0">
    <w:p w:rsidR="00AE5458" w:rsidRDefault="00AE5458" w:rsidP="000B701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722E" w:rsidRDefault="005F722E" w:rsidP="005F722E">
    <w:pPr>
      <w:pStyle w:val="Header"/>
      <w:jc w:val="center"/>
    </w:pPr>
    <w:r>
      <w:rPr>
        <w:rStyle w:val="PageNumber"/>
      </w:rPr>
      <w:fldChar w:fldCharType="begin"/>
    </w:r>
    <w:r>
      <w:rPr>
        <w:rStyle w:val="PageNumber"/>
      </w:rPr>
      <w:instrText xml:space="preserve"> PAGE </w:instrText>
    </w:r>
    <w:r>
      <w:rPr>
        <w:rStyle w:val="PageNumber"/>
      </w:rPr>
      <w:fldChar w:fldCharType="separate"/>
    </w:r>
    <w:r w:rsidR="008D2330">
      <w:rPr>
        <w:rStyle w:val="PageNumber"/>
        <w:noProof/>
      </w:rPr>
      <w:t>2</w:t>
    </w:r>
    <w:r>
      <w:rPr>
        <w:rStyle w:val="PageNumber"/>
      </w:rPr>
      <w:fldChar w:fldCharType="end"/>
    </w:r>
  </w:p>
  <w:p w:rsidR="002A2B4B" w:rsidRDefault="002A2B4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722E" w:rsidRDefault="00FD4DF3" w:rsidP="00FD4DF3">
    <w:pPr>
      <w:pStyle w:val="Header"/>
    </w:pPr>
    <w:r>
      <w:object w:dxaOrig="2541" w:dyaOrig="25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pt;height:142.8pt" fillcolor="window">
          <v:imagedata r:id="rId1" o:title=""/>
        </v:shape>
        <o:OLEObject Type="Embed" ProgID="Word.Picture.8" ShapeID="_x0000_i1025" DrawAspect="Content" ObjectID="_1618928242"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1F9E495C"/>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FB72F900"/>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695C684A"/>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D976226E"/>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B906120"/>
    <w:lvl w:ilvl="0">
      <w:start w:val="1"/>
      <w:numFmt w:val="decimal"/>
      <w:pStyle w:val="ListNumber"/>
      <w:lvlText w:val="%1."/>
      <w:lvlJc w:val="left"/>
      <w:pPr>
        <w:tabs>
          <w:tab w:val="num" w:pos="360"/>
        </w:tabs>
        <w:ind w:left="360" w:hanging="360"/>
      </w:pPr>
    </w:lvl>
  </w:abstractNum>
  <w:abstractNum w:abstractNumId="5" w15:restartNumberingAfterBreak="0">
    <w:nsid w:val="FFFFFF89"/>
    <w:multiLevelType w:val="singleLevel"/>
    <w:tmpl w:val="E0245FFA"/>
    <w:lvl w:ilvl="0">
      <w:start w:val="1"/>
      <w:numFmt w:val="bullet"/>
      <w:pStyle w:val="ListBullet"/>
      <w:lvlText w:val=""/>
      <w:lvlJc w:val="left"/>
      <w:pPr>
        <w:tabs>
          <w:tab w:val="num" w:pos="720"/>
        </w:tabs>
        <w:ind w:left="720" w:hanging="720"/>
      </w:pPr>
      <w:rPr>
        <w:rFonts w:ascii="Symbol" w:hAnsi="Symbol" w:hint="default"/>
      </w:rPr>
    </w:lvl>
  </w:abstractNum>
  <w:abstractNum w:abstractNumId="6" w15:restartNumberingAfterBreak="0">
    <w:nsid w:val="14105CA9"/>
    <w:multiLevelType w:val="hybridMultilevel"/>
    <w:tmpl w:val="31C02244"/>
    <w:lvl w:ilvl="0" w:tplc="3CF28AFA">
      <w:start w:val="1"/>
      <w:numFmt w:val="decimal"/>
      <w:pStyle w:val="ParagraphNumbering"/>
      <w:lvlText w:val="%1.     "/>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DFF27A0"/>
    <w:multiLevelType w:val="hybridMultilevel"/>
    <w:tmpl w:val="A3F2ED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0EA15A1"/>
    <w:multiLevelType w:val="multilevel"/>
    <w:tmpl w:val="68701036"/>
    <w:lvl w:ilvl="0">
      <w:start w:val="1"/>
      <w:numFmt w:val="upperRoman"/>
      <w:pStyle w:val="Heading1"/>
      <w:suff w:val="nothing"/>
      <w:lvlText w:val="%1.   "/>
      <w:lvlJc w:val="left"/>
      <w:pPr>
        <w:ind w:left="0" w:firstLine="0"/>
      </w:pPr>
      <w:rPr>
        <w:rFonts w:hint="default"/>
      </w:rPr>
    </w:lvl>
    <w:lvl w:ilvl="1">
      <w:start w:val="1"/>
      <w:numFmt w:val="upperLetter"/>
      <w:pStyle w:val="Heading2"/>
      <w:suff w:val="nothing"/>
      <w:lvlText w:val="%2.   "/>
      <w:lvlJc w:val="left"/>
      <w:pPr>
        <w:ind w:left="0" w:firstLine="0"/>
      </w:pPr>
      <w:rPr>
        <w:rFonts w:hint="default"/>
      </w:rPr>
    </w:lvl>
    <w:lvl w:ilvl="2">
      <w:start w:val="1"/>
      <w:numFmt w:val="decimal"/>
      <w:lvlText w:val="%3."/>
      <w:lvlJc w:val="left"/>
      <w:pPr>
        <w:tabs>
          <w:tab w:val="num" w:pos="1080"/>
        </w:tabs>
        <w:ind w:left="720" w:firstLine="0"/>
      </w:pPr>
      <w:rPr>
        <w:rFonts w:hint="default"/>
      </w:rPr>
    </w:lvl>
    <w:lvl w:ilvl="3">
      <w:start w:val="1"/>
      <w:numFmt w:val="lowerLetter"/>
      <w:lvlText w:val="%4)"/>
      <w:lvlJc w:val="left"/>
      <w:pPr>
        <w:tabs>
          <w:tab w:val="num" w:pos="1800"/>
        </w:tabs>
        <w:ind w:left="1440" w:firstLine="0"/>
      </w:pPr>
      <w:rPr>
        <w:rFonts w:hint="default"/>
      </w:rPr>
    </w:lvl>
    <w:lvl w:ilvl="4">
      <w:start w:val="1"/>
      <w:numFmt w:val="decimal"/>
      <w:lvlText w:val="(%5)"/>
      <w:lvlJc w:val="left"/>
      <w:pPr>
        <w:tabs>
          <w:tab w:val="num" w:pos="2520"/>
        </w:tabs>
        <w:ind w:left="2160" w:firstLine="0"/>
      </w:pPr>
      <w:rPr>
        <w:rFonts w:hint="default"/>
      </w:rPr>
    </w:lvl>
    <w:lvl w:ilvl="5">
      <w:start w:val="1"/>
      <w:numFmt w:val="lowerLetter"/>
      <w:lvlText w:val="(%6)"/>
      <w:lvlJc w:val="left"/>
      <w:pPr>
        <w:tabs>
          <w:tab w:val="num" w:pos="3240"/>
        </w:tabs>
        <w:ind w:left="2880" w:firstLine="0"/>
      </w:pPr>
      <w:rPr>
        <w:rFonts w:hint="default"/>
      </w:rPr>
    </w:lvl>
    <w:lvl w:ilvl="6">
      <w:start w:val="1"/>
      <w:numFmt w:val="lowerRoman"/>
      <w:lvlText w:val="(%7)"/>
      <w:lvlJc w:val="left"/>
      <w:pPr>
        <w:tabs>
          <w:tab w:val="num" w:pos="3960"/>
        </w:tabs>
        <w:ind w:left="3600" w:firstLine="0"/>
      </w:pPr>
      <w:rPr>
        <w:rFonts w:hint="default"/>
      </w:rPr>
    </w:lvl>
    <w:lvl w:ilvl="7">
      <w:start w:val="1"/>
      <w:numFmt w:val="lowerLetter"/>
      <w:lvlText w:val="(%8)"/>
      <w:lvlJc w:val="left"/>
      <w:pPr>
        <w:tabs>
          <w:tab w:val="num" w:pos="4680"/>
        </w:tabs>
        <w:ind w:left="4320" w:firstLine="0"/>
      </w:pPr>
      <w:rPr>
        <w:rFonts w:hint="default"/>
      </w:rPr>
    </w:lvl>
    <w:lvl w:ilvl="8">
      <w:start w:val="1"/>
      <w:numFmt w:val="lowerRoman"/>
      <w:lvlText w:val="(%9)"/>
      <w:lvlJc w:val="left"/>
      <w:pPr>
        <w:tabs>
          <w:tab w:val="num" w:pos="5400"/>
        </w:tabs>
        <w:ind w:left="5040" w:firstLine="0"/>
      </w:pPr>
      <w:rPr>
        <w:rFonts w:hint="default"/>
      </w:rPr>
    </w:lvl>
  </w:abstractNum>
  <w:num w:numId="1">
    <w:abstractNumId w:val="8"/>
  </w:num>
  <w:num w:numId="2">
    <w:abstractNumId w:val="8"/>
  </w:num>
  <w:num w:numId="3">
    <w:abstractNumId w:val="5"/>
  </w:num>
  <w:num w:numId="4">
    <w:abstractNumId w:val="5"/>
  </w:num>
  <w:num w:numId="5">
    <w:abstractNumId w:val="3"/>
  </w:num>
  <w:num w:numId="6">
    <w:abstractNumId w:val="3"/>
  </w:num>
  <w:num w:numId="7">
    <w:abstractNumId w:val="2"/>
  </w:num>
  <w:num w:numId="8">
    <w:abstractNumId w:val="2"/>
  </w:num>
  <w:num w:numId="9">
    <w:abstractNumId w:val="1"/>
  </w:num>
  <w:num w:numId="10">
    <w:abstractNumId w:val="1"/>
  </w:num>
  <w:num w:numId="11">
    <w:abstractNumId w:val="0"/>
  </w:num>
  <w:num w:numId="12">
    <w:abstractNumId w:val="0"/>
  </w:num>
  <w:num w:numId="13">
    <w:abstractNumId w:val="4"/>
  </w:num>
  <w:num w:numId="14">
    <w:abstractNumId w:val="4"/>
  </w:num>
  <w:num w:numId="15">
    <w:abstractNumId w:val="6"/>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816"/>
    <w:rsid w:val="000A1AEE"/>
    <w:rsid w:val="000B7010"/>
    <w:rsid w:val="000D5808"/>
    <w:rsid w:val="00107422"/>
    <w:rsid w:val="001D081E"/>
    <w:rsid w:val="00232FB2"/>
    <w:rsid w:val="002A2B4B"/>
    <w:rsid w:val="002F7F6A"/>
    <w:rsid w:val="00325E95"/>
    <w:rsid w:val="003712A7"/>
    <w:rsid w:val="00385816"/>
    <w:rsid w:val="003D2443"/>
    <w:rsid w:val="00451C7E"/>
    <w:rsid w:val="00494702"/>
    <w:rsid w:val="00527B01"/>
    <w:rsid w:val="00531040"/>
    <w:rsid w:val="0054074A"/>
    <w:rsid w:val="005A7086"/>
    <w:rsid w:val="005C0460"/>
    <w:rsid w:val="005F722E"/>
    <w:rsid w:val="0060374F"/>
    <w:rsid w:val="0061550F"/>
    <w:rsid w:val="0062783F"/>
    <w:rsid w:val="006F658C"/>
    <w:rsid w:val="00776935"/>
    <w:rsid w:val="008A3DEB"/>
    <w:rsid w:val="008D2330"/>
    <w:rsid w:val="0094003C"/>
    <w:rsid w:val="009405BC"/>
    <w:rsid w:val="00AA24AB"/>
    <w:rsid w:val="00AE5458"/>
    <w:rsid w:val="00B7537B"/>
    <w:rsid w:val="00BE5834"/>
    <w:rsid w:val="00CE4A79"/>
    <w:rsid w:val="00D87E53"/>
    <w:rsid w:val="00EB5DF9"/>
    <w:rsid w:val="00F03CAD"/>
    <w:rsid w:val="00F078E4"/>
    <w:rsid w:val="00FD4D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E4FA2A"/>
  <w15:chartTrackingRefBased/>
  <w15:docId w15:val="{62293F74-1BB9-4515-B446-F83F6FAAA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iPriority="8" w:unhideWhenUsed="1" w:qFormat="1"/>
    <w:lsdException w:name="heading 7" w:semiHidden="1" w:uiPriority="8" w:unhideWhenUsed="1" w:qFormat="1"/>
    <w:lsdException w:name="heading 8" w:semiHidden="1" w:uiPriority="8" w:unhideWhenUsed="1" w:qFormat="1"/>
    <w:lsdException w:name="heading 9" w:semiHidden="1" w:uiPriority="8" w:unhideWhenUsed="1" w:qFormat="1"/>
    <w:lsdException w:name="index 1" w:semiHidden="1" w:uiPriority="8" w:unhideWhenUsed="1"/>
    <w:lsdException w:name="index 2" w:semiHidden="1" w:uiPriority="8" w:unhideWhenUsed="1"/>
    <w:lsdException w:name="index 3" w:semiHidden="1" w:uiPriority="8" w:unhideWhenUsed="1"/>
    <w:lsdException w:name="index 4" w:semiHidden="1" w:uiPriority="8" w:unhideWhenUsed="1"/>
    <w:lsdException w:name="index 5" w:semiHidden="1" w:uiPriority="8" w:unhideWhenUsed="1"/>
    <w:lsdException w:name="index 6" w:semiHidden="1" w:uiPriority="8" w:unhideWhenUsed="1"/>
    <w:lsdException w:name="index 7" w:semiHidden="1" w:uiPriority="8" w:unhideWhenUsed="1"/>
    <w:lsdException w:name="index 8" w:semiHidden="1" w:uiPriority="8" w:unhideWhenUsed="1"/>
    <w:lsdException w:name="index 9" w:semiHidden="1" w:uiPriority="8" w:unhideWhenUsed="1"/>
    <w:lsdException w:name="toc 1" w:semiHidden="1" w:uiPriority="8" w:unhideWhenUsed="1"/>
    <w:lsdException w:name="toc 2" w:semiHidden="1" w:uiPriority="8" w:unhideWhenUsed="1"/>
    <w:lsdException w:name="toc 3" w:semiHidden="1" w:uiPriority="8" w:unhideWhenUsed="1"/>
    <w:lsdException w:name="toc 4" w:semiHidden="1" w:uiPriority="8" w:unhideWhenUsed="1"/>
    <w:lsdException w:name="toc 5" w:semiHidden="1" w:uiPriority="8" w:unhideWhenUsed="1"/>
    <w:lsdException w:name="toc 6" w:semiHidden="1" w:uiPriority="8" w:unhideWhenUsed="1"/>
    <w:lsdException w:name="toc 7" w:semiHidden="1" w:uiPriority="8" w:unhideWhenUsed="1"/>
    <w:lsdException w:name="toc 8" w:semiHidden="1" w:uiPriority="8" w:unhideWhenUsed="1"/>
    <w:lsdException w:name="toc 9" w:semiHidden="1" w:uiPriority="8"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iPriority="8"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8" w:unhideWhenUsed="1"/>
    <w:lsdException w:name="List Bullet 3" w:semiHidden="1" w:uiPriority="8" w:unhideWhenUsed="1"/>
    <w:lsdException w:name="List Bullet 4" w:semiHidden="1" w:uiPriority="8" w:unhideWhenUsed="1"/>
    <w:lsdException w:name="List Bullet 5" w:semiHidden="1" w:uiPriority="8"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nhideWhenUsed="1"/>
    <w:lsdException w:name="Signature" w:semiHidden="1" w:unhideWhenUsed="1"/>
    <w:lsdException w:name="Default Paragraph Font" w:semiHidden="1" w:uiPriority="1" w:unhideWhenUsed="1"/>
    <w:lsdException w:name="Body Text" w:semiHidden="1" w:uiPriority="8"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3DEB"/>
    <w:pPr>
      <w:spacing w:after="0" w:line="264" w:lineRule="auto"/>
    </w:pPr>
    <w:rPr>
      <w:rFonts w:ascii="Times New Roman" w:hAnsi="Times New Roman" w:cs="Times New Roman"/>
      <w:sz w:val="24"/>
      <w:szCs w:val="24"/>
    </w:rPr>
  </w:style>
  <w:style w:type="paragraph" w:styleId="Heading1">
    <w:name w:val="heading 1"/>
    <w:basedOn w:val="Normal"/>
    <w:next w:val="Normal"/>
    <w:link w:val="Heading1Char"/>
    <w:uiPriority w:val="3"/>
    <w:qFormat/>
    <w:rsid w:val="008A3DEB"/>
    <w:pPr>
      <w:keepNext/>
      <w:numPr>
        <w:numId w:val="2"/>
      </w:numPr>
      <w:spacing w:after="240"/>
      <w:jc w:val="center"/>
      <w:outlineLvl w:val="0"/>
    </w:pPr>
    <w:rPr>
      <w:rFonts w:cs="Arial"/>
      <w:b/>
      <w:bCs/>
      <w:smallCaps/>
      <w:kern w:val="28"/>
      <w:szCs w:val="32"/>
    </w:rPr>
  </w:style>
  <w:style w:type="paragraph" w:styleId="Heading2">
    <w:name w:val="heading 2"/>
    <w:basedOn w:val="Normal"/>
    <w:next w:val="Normal"/>
    <w:link w:val="Heading2Char"/>
    <w:uiPriority w:val="4"/>
    <w:qFormat/>
    <w:rsid w:val="008A3DEB"/>
    <w:pPr>
      <w:keepNext/>
      <w:numPr>
        <w:ilvl w:val="1"/>
        <w:numId w:val="2"/>
      </w:numPr>
      <w:spacing w:after="240"/>
      <w:jc w:val="center"/>
      <w:outlineLvl w:val="1"/>
    </w:pPr>
    <w:rPr>
      <w:rFonts w:cs="Arial"/>
      <w:b/>
      <w:bCs/>
      <w:iCs/>
      <w:szCs w:val="28"/>
    </w:rPr>
  </w:style>
  <w:style w:type="paragraph" w:styleId="Heading3">
    <w:name w:val="heading 3"/>
    <w:basedOn w:val="Normal"/>
    <w:next w:val="Normal"/>
    <w:link w:val="Heading3Char"/>
    <w:uiPriority w:val="5"/>
    <w:qFormat/>
    <w:rsid w:val="008A3DEB"/>
    <w:pPr>
      <w:keepNext/>
      <w:spacing w:after="240"/>
      <w:outlineLvl w:val="2"/>
    </w:pPr>
    <w:rPr>
      <w:rFonts w:cs="Arial"/>
      <w:b/>
      <w:bCs/>
      <w:szCs w:val="26"/>
    </w:rPr>
  </w:style>
  <w:style w:type="paragraph" w:styleId="Heading4">
    <w:name w:val="heading 4"/>
    <w:basedOn w:val="Normal"/>
    <w:next w:val="Normal"/>
    <w:link w:val="Heading4Char"/>
    <w:uiPriority w:val="6"/>
    <w:qFormat/>
    <w:rsid w:val="008A3DEB"/>
    <w:pPr>
      <w:keepNext/>
      <w:spacing w:after="240"/>
      <w:outlineLvl w:val="3"/>
    </w:pPr>
    <w:rPr>
      <w:b/>
      <w:bCs/>
      <w:i/>
      <w:szCs w:val="28"/>
    </w:rPr>
  </w:style>
  <w:style w:type="paragraph" w:styleId="Heading5">
    <w:name w:val="heading 5"/>
    <w:basedOn w:val="Normal"/>
    <w:next w:val="Normal"/>
    <w:link w:val="Heading5Char"/>
    <w:uiPriority w:val="7"/>
    <w:qFormat/>
    <w:rsid w:val="008A3DEB"/>
    <w:pPr>
      <w:keepNext/>
      <w:spacing w:after="240"/>
      <w:outlineLvl w:val="4"/>
    </w:pPr>
    <w:rPr>
      <w:bCs/>
      <w:i/>
      <w:iCs/>
      <w:szCs w:val="26"/>
    </w:rPr>
  </w:style>
  <w:style w:type="paragraph" w:styleId="Heading6">
    <w:name w:val="heading 6"/>
    <w:basedOn w:val="Normal"/>
    <w:next w:val="Normal"/>
    <w:link w:val="Heading6Char"/>
    <w:uiPriority w:val="8"/>
    <w:rsid w:val="008A3DEB"/>
    <w:pPr>
      <w:outlineLvl w:val="5"/>
    </w:pPr>
    <w:rPr>
      <w:bCs/>
      <w:szCs w:val="22"/>
    </w:rPr>
  </w:style>
  <w:style w:type="paragraph" w:styleId="Heading7">
    <w:name w:val="heading 7"/>
    <w:basedOn w:val="Normal"/>
    <w:next w:val="Normal"/>
    <w:link w:val="Heading7Char"/>
    <w:uiPriority w:val="8"/>
    <w:rsid w:val="008A3DEB"/>
    <w:pPr>
      <w:outlineLvl w:val="6"/>
    </w:pPr>
  </w:style>
  <w:style w:type="paragraph" w:styleId="Heading8">
    <w:name w:val="heading 8"/>
    <w:basedOn w:val="Normal"/>
    <w:next w:val="Normal"/>
    <w:link w:val="Heading8Char"/>
    <w:uiPriority w:val="8"/>
    <w:rsid w:val="008A3DEB"/>
    <w:pPr>
      <w:outlineLvl w:val="7"/>
    </w:pPr>
    <w:rPr>
      <w:iCs/>
    </w:rPr>
  </w:style>
  <w:style w:type="paragraph" w:styleId="Heading9">
    <w:name w:val="heading 9"/>
    <w:basedOn w:val="Normal"/>
    <w:next w:val="Normal"/>
    <w:link w:val="Heading9Char"/>
    <w:uiPriority w:val="8"/>
    <w:rsid w:val="008A3DEB"/>
    <w:p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
    <w:name w:val="Appendix"/>
    <w:basedOn w:val="Normal"/>
    <w:uiPriority w:val="8"/>
    <w:qFormat/>
    <w:rsid w:val="008A3DEB"/>
    <w:pPr>
      <w:jc w:val="center"/>
    </w:pPr>
    <w:rPr>
      <w:b/>
    </w:rPr>
  </w:style>
  <w:style w:type="paragraph" w:styleId="BodyText">
    <w:name w:val="Body Text"/>
    <w:basedOn w:val="Normal"/>
    <w:link w:val="BodyTextChar"/>
    <w:uiPriority w:val="8"/>
    <w:rsid w:val="008A3DEB"/>
    <w:pPr>
      <w:spacing w:after="120"/>
    </w:pPr>
  </w:style>
  <w:style w:type="character" w:customStyle="1" w:styleId="BodyTextChar">
    <w:name w:val="Body Text Char"/>
    <w:basedOn w:val="DefaultParagraphFont"/>
    <w:link w:val="BodyText"/>
    <w:uiPriority w:val="8"/>
    <w:rsid w:val="008A3DEB"/>
    <w:rPr>
      <w:rFonts w:ascii="Times New Roman" w:hAnsi="Times New Roman" w:cs="Times New Roman"/>
      <w:sz w:val="24"/>
      <w:szCs w:val="24"/>
    </w:rPr>
  </w:style>
  <w:style w:type="paragraph" w:styleId="Footer">
    <w:name w:val="footer"/>
    <w:basedOn w:val="Normal"/>
    <w:link w:val="FooterChar"/>
    <w:uiPriority w:val="99"/>
    <w:rsid w:val="008A3DEB"/>
    <w:pPr>
      <w:tabs>
        <w:tab w:val="center" w:pos="4320"/>
        <w:tab w:val="right" w:pos="8640"/>
      </w:tabs>
    </w:pPr>
  </w:style>
  <w:style w:type="character" w:customStyle="1" w:styleId="FooterChar">
    <w:name w:val="Footer Char"/>
    <w:basedOn w:val="DefaultParagraphFont"/>
    <w:link w:val="Footer"/>
    <w:uiPriority w:val="99"/>
    <w:rsid w:val="008A3DEB"/>
    <w:rPr>
      <w:rFonts w:ascii="Times New Roman" w:hAnsi="Times New Roman" w:cs="Times New Roman"/>
      <w:sz w:val="24"/>
      <w:szCs w:val="24"/>
    </w:rPr>
  </w:style>
  <w:style w:type="character" w:styleId="FootnoteReference">
    <w:name w:val="footnote reference"/>
    <w:basedOn w:val="DefaultParagraphFont"/>
    <w:uiPriority w:val="8"/>
    <w:rsid w:val="008A3DEB"/>
    <w:rPr>
      <w:sz w:val="20"/>
      <w:vertAlign w:val="superscript"/>
    </w:rPr>
  </w:style>
  <w:style w:type="paragraph" w:styleId="FootnoteText">
    <w:name w:val="footnote text"/>
    <w:basedOn w:val="Normal"/>
    <w:link w:val="FootnoteTextChar"/>
    <w:uiPriority w:val="8"/>
    <w:rsid w:val="008A3DEB"/>
    <w:pPr>
      <w:spacing w:after="200"/>
    </w:pPr>
    <w:rPr>
      <w:sz w:val="20"/>
      <w:szCs w:val="20"/>
    </w:rPr>
  </w:style>
  <w:style w:type="character" w:customStyle="1" w:styleId="FootnoteTextChar">
    <w:name w:val="Footnote Text Char"/>
    <w:basedOn w:val="DefaultParagraphFont"/>
    <w:link w:val="FootnoteText"/>
    <w:uiPriority w:val="8"/>
    <w:rsid w:val="008A3DEB"/>
    <w:rPr>
      <w:rFonts w:ascii="Times New Roman" w:hAnsi="Times New Roman" w:cs="Times New Roman"/>
      <w:sz w:val="20"/>
      <w:szCs w:val="20"/>
    </w:rPr>
  </w:style>
  <w:style w:type="paragraph" w:styleId="Header">
    <w:name w:val="header"/>
    <w:basedOn w:val="Normal"/>
    <w:link w:val="HeaderChar"/>
    <w:uiPriority w:val="99"/>
    <w:rsid w:val="008A3DEB"/>
    <w:pPr>
      <w:tabs>
        <w:tab w:val="center" w:pos="4320"/>
        <w:tab w:val="right" w:pos="8640"/>
      </w:tabs>
    </w:pPr>
  </w:style>
  <w:style w:type="character" w:customStyle="1" w:styleId="HeaderChar">
    <w:name w:val="Header Char"/>
    <w:basedOn w:val="DefaultParagraphFont"/>
    <w:link w:val="Header"/>
    <w:uiPriority w:val="99"/>
    <w:rsid w:val="008A3DEB"/>
    <w:rPr>
      <w:rFonts w:ascii="Times New Roman" w:hAnsi="Times New Roman" w:cs="Times New Roman"/>
      <w:sz w:val="24"/>
      <w:szCs w:val="24"/>
    </w:rPr>
  </w:style>
  <w:style w:type="character" w:customStyle="1" w:styleId="Heading1Char">
    <w:name w:val="Heading 1 Char"/>
    <w:basedOn w:val="DefaultParagraphFont"/>
    <w:link w:val="Heading1"/>
    <w:uiPriority w:val="3"/>
    <w:rsid w:val="008A3DEB"/>
    <w:rPr>
      <w:rFonts w:ascii="Times New Roman" w:hAnsi="Times New Roman" w:cs="Arial"/>
      <w:b/>
      <w:bCs/>
      <w:smallCaps/>
      <w:kern w:val="28"/>
      <w:sz w:val="24"/>
      <w:szCs w:val="32"/>
    </w:rPr>
  </w:style>
  <w:style w:type="character" w:customStyle="1" w:styleId="Heading2Char">
    <w:name w:val="Heading 2 Char"/>
    <w:basedOn w:val="DefaultParagraphFont"/>
    <w:link w:val="Heading2"/>
    <w:uiPriority w:val="4"/>
    <w:rsid w:val="008A3DEB"/>
    <w:rPr>
      <w:rFonts w:ascii="Times New Roman" w:hAnsi="Times New Roman" w:cs="Arial"/>
      <w:b/>
      <w:bCs/>
      <w:iCs/>
      <w:sz w:val="24"/>
      <w:szCs w:val="28"/>
    </w:rPr>
  </w:style>
  <w:style w:type="character" w:customStyle="1" w:styleId="Heading3Char">
    <w:name w:val="Heading 3 Char"/>
    <w:basedOn w:val="DefaultParagraphFont"/>
    <w:link w:val="Heading3"/>
    <w:uiPriority w:val="5"/>
    <w:rsid w:val="008A3DEB"/>
    <w:rPr>
      <w:rFonts w:ascii="Times New Roman" w:hAnsi="Times New Roman" w:cs="Arial"/>
      <w:b/>
      <w:bCs/>
      <w:sz w:val="24"/>
      <w:szCs w:val="26"/>
    </w:rPr>
  </w:style>
  <w:style w:type="character" w:customStyle="1" w:styleId="Heading4Char">
    <w:name w:val="Heading 4 Char"/>
    <w:basedOn w:val="DefaultParagraphFont"/>
    <w:link w:val="Heading4"/>
    <w:uiPriority w:val="6"/>
    <w:rsid w:val="008A3DEB"/>
    <w:rPr>
      <w:rFonts w:ascii="Times New Roman" w:hAnsi="Times New Roman" w:cs="Times New Roman"/>
      <w:b/>
      <w:bCs/>
      <w:i/>
      <w:sz w:val="24"/>
      <w:szCs w:val="28"/>
    </w:rPr>
  </w:style>
  <w:style w:type="character" w:customStyle="1" w:styleId="Heading5Char">
    <w:name w:val="Heading 5 Char"/>
    <w:basedOn w:val="DefaultParagraphFont"/>
    <w:link w:val="Heading5"/>
    <w:uiPriority w:val="7"/>
    <w:rsid w:val="008A3DEB"/>
    <w:rPr>
      <w:rFonts w:ascii="Times New Roman" w:hAnsi="Times New Roman" w:cs="Times New Roman"/>
      <w:bCs/>
      <w:i/>
      <w:iCs/>
      <w:sz w:val="24"/>
      <w:szCs w:val="26"/>
    </w:rPr>
  </w:style>
  <w:style w:type="character" w:customStyle="1" w:styleId="Heading6Char">
    <w:name w:val="Heading 6 Char"/>
    <w:basedOn w:val="DefaultParagraphFont"/>
    <w:link w:val="Heading6"/>
    <w:uiPriority w:val="8"/>
    <w:rsid w:val="008A3DEB"/>
    <w:rPr>
      <w:rFonts w:ascii="Times New Roman" w:hAnsi="Times New Roman" w:cs="Times New Roman"/>
      <w:bCs/>
      <w:sz w:val="24"/>
    </w:rPr>
  </w:style>
  <w:style w:type="character" w:customStyle="1" w:styleId="Heading7Char">
    <w:name w:val="Heading 7 Char"/>
    <w:basedOn w:val="DefaultParagraphFont"/>
    <w:link w:val="Heading7"/>
    <w:uiPriority w:val="8"/>
    <w:rsid w:val="008A3DEB"/>
    <w:rPr>
      <w:rFonts w:ascii="Times New Roman" w:hAnsi="Times New Roman" w:cs="Times New Roman"/>
      <w:sz w:val="24"/>
      <w:szCs w:val="24"/>
    </w:rPr>
  </w:style>
  <w:style w:type="character" w:customStyle="1" w:styleId="Heading8Char">
    <w:name w:val="Heading 8 Char"/>
    <w:basedOn w:val="DefaultParagraphFont"/>
    <w:link w:val="Heading8"/>
    <w:uiPriority w:val="8"/>
    <w:rsid w:val="008A3DEB"/>
    <w:rPr>
      <w:rFonts w:ascii="Times New Roman" w:hAnsi="Times New Roman" w:cs="Times New Roman"/>
      <w:iCs/>
      <w:sz w:val="24"/>
      <w:szCs w:val="24"/>
    </w:rPr>
  </w:style>
  <w:style w:type="character" w:customStyle="1" w:styleId="Heading9Char">
    <w:name w:val="Heading 9 Char"/>
    <w:basedOn w:val="DefaultParagraphFont"/>
    <w:link w:val="Heading9"/>
    <w:uiPriority w:val="8"/>
    <w:rsid w:val="008A3DEB"/>
    <w:rPr>
      <w:rFonts w:ascii="Times New Roman" w:hAnsi="Times New Roman" w:cs="Arial"/>
      <w:sz w:val="24"/>
    </w:rPr>
  </w:style>
  <w:style w:type="paragraph" w:customStyle="1" w:styleId="Indent">
    <w:name w:val="Indent"/>
    <w:basedOn w:val="Normal"/>
    <w:uiPriority w:val="8"/>
    <w:qFormat/>
    <w:rsid w:val="008A3DEB"/>
    <w:pPr>
      <w:ind w:left="720" w:hanging="720"/>
    </w:pPr>
  </w:style>
  <w:style w:type="paragraph" w:styleId="Index1">
    <w:name w:val="index 1"/>
    <w:basedOn w:val="Normal"/>
    <w:next w:val="Normal"/>
    <w:uiPriority w:val="8"/>
    <w:rsid w:val="008A3DEB"/>
    <w:pPr>
      <w:ind w:left="240" w:hanging="240"/>
    </w:pPr>
  </w:style>
  <w:style w:type="paragraph" w:styleId="Index2">
    <w:name w:val="index 2"/>
    <w:basedOn w:val="Normal"/>
    <w:next w:val="Normal"/>
    <w:uiPriority w:val="8"/>
    <w:rsid w:val="008A3DEB"/>
    <w:pPr>
      <w:ind w:left="480" w:hanging="240"/>
    </w:pPr>
  </w:style>
  <w:style w:type="paragraph" w:styleId="Index3">
    <w:name w:val="index 3"/>
    <w:basedOn w:val="Normal"/>
    <w:next w:val="Normal"/>
    <w:uiPriority w:val="8"/>
    <w:rsid w:val="008A3DEB"/>
    <w:pPr>
      <w:ind w:left="720" w:hanging="240"/>
    </w:pPr>
  </w:style>
  <w:style w:type="paragraph" w:styleId="Index4">
    <w:name w:val="index 4"/>
    <w:basedOn w:val="Normal"/>
    <w:next w:val="Normal"/>
    <w:uiPriority w:val="8"/>
    <w:rsid w:val="008A3DEB"/>
    <w:pPr>
      <w:ind w:left="960" w:hanging="240"/>
    </w:pPr>
  </w:style>
  <w:style w:type="paragraph" w:styleId="Index5">
    <w:name w:val="index 5"/>
    <w:basedOn w:val="Normal"/>
    <w:next w:val="Normal"/>
    <w:uiPriority w:val="8"/>
    <w:rsid w:val="008A3DEB"/>
    <w:pPr>
      <w:ind w:left="1200" w:hanging="240"/>
    </w:pPr>
  </w:style>
  <w:style w:type="paragraph" w:styleId="Index6">
    <w:name w:val="index 6"/>
    <w:basedOn w:val="Normal"/>
    <w:next w:val="Normal"/>
    <w:uiPriority w:val="8"/>
    <w:rsid w:val="008A3DEB"/>
    <w:pPr>
      <w:ind w:left="1440" w:hanging="240"/>
    </w:pPr>
  </w:style>
  <w:style w:type="paragraph" w:styleId="Index7">
    <w:name w:val="index 7"/>
    <w:basedOn w:val="Normal"/>
    <w:next w:val="Normal"/>
    <w:uiPriority w:val="8"/>
    <w:rsid w:val="008A3DEB"/>
    <w:pPr>
      <w:ind w:left="1680" w:hanging="240"/>
    </w:pPr>
  </w:style>
  <w:style w:type="paragraph" w:styleId="Index8">
    <w:name w:val="index 8"/>
    <w:basedOn w:val="Normal"/>
    <w:next w:val="Normal"/>
    <w:uiPriority w:val="8"/>
    <w:rsid w:val="008A3DEB"/>
    <w:pPr>
      <w:ind w:left="1920" w:hanging="240"/>
    </w:pPr>
  </w:style>
  <w:style w:type="paragraph" w:styleId="Index9">
    <w:name w:val="index 9"/>
    <w:basedOn w:val="Normal"/>
    <w:next w:val="Normal"/>
    <w:uiPriority w:val="8"/>
    <w:rsid w:val="008A3DEB"/>
    <w:pPr>
      <w:ind w:left="2160" w:hanging="240"/>
    </w:pPr>
  </w:style>
  <w:style w:type="paragraph" w:styleId="ListBullet">
    <w:name w:val="List Bullet"/>
    <w:basedOn w:val="Normal"/>
    <w:uiPriority w:val="2"/>
    <w:qFormat/>
    <w:rsid w:val="008A3DEB"/>
    <w:pPr>
      <w:numPr>
        <w:numId w:val="4"/>
      </w:numPr>
      <w:spacing w:after="240"/>
    </w:pPr>
  </w:style>
  <w:style w:type="paragraph" w:styleId="ListBullet2">
    <w:name w:val="List Bullet 2"/>
    <w:basedOn w:val="Normal"/>
    <w:uiPriority w:val="8"/>
    <w:rsid w:val="008A3DEB"/>
    <w:pPr>
      <w:numPr>
        <w:numId w:val="6"/>
      </w:numPr>
    </w:pPr>
  </w:style>
  <w:style w:type="paragraph" w:styleId="ListBullet3">
    <w:name w:val="List Bullet 3"/>
    <w:basedOn w:val="Normal"/>
    <w:uiPriority w:val="8"/>
    <w:rsid w:val="008A3DEB"/>
    <w:pPr>
      <w:numPr>
        <w:numId w:val="8"/>
      </w:numPr>
    </w:pPr>
  </w:style>
  <w:style w:type="paragraph" w:styleId="ListBullet4">
    <w:name w:val="List Bullet 4"/>
    <w:basedOn w:val="Normal"/>
    <w:uiPriority w:val="8"/>
    <w:rsid w:val="008A3DEB"/>
    <w:pPr>
      <w:numPr>
        <w:numId w:val="10"/>
      </w:numPr>
    </w:pPr>
  </w:style>
  <w:style w:type="paragraph" w:styleId="ListBullet5">
    <w:name w:val="List Bullet 5"/>
    <w:basedOn w:val="Normal"/>
    <w:uiPriority w:val="8"/>
    <w:rsid w:val="008A3DEB"/>
    <w:pPr>
      <w:numPr>
        <w:numId w:val="12"/>
      </w:numPr>
    </w:pPr>
  </w:style>
  <w:style w:type="paragraph" w:styleId="ListNumber">
    <w:name w:val="List Number"/>
    <w:basedOn w:val="Normal"/>
    <w:uiPriority w:val="8"/>
    <w:rsid w:val="008A3DEB"/>
    <w:pPr>
      <w:numPr>
        <w:numId w:val="14"/>
      </w:numPr>
      <w:contextualSpacing/>
    </w:pPr>
  </w:style>
  <w:style w:type="paragraph" w:styleId="ListParagraph">
    <w:name w:val="List Paragraph"/>
    <w:basedOn w:val="Normal"/>
    <w:uiPriority w:val="42"/>
    <w:rsid w:val="008A3DEB"/>
    <w:pPr>
      <w:ind w:left="720"/>
      <w:contextualSpacing/>
    </w:pPr>
  </w:style>
  <w:style w:type="paragraph" w:customStyle="1" w:styleId="ParagraphNumbering">
    <w:name w:val="Paragraph Numbering"/>
    <w:basedOn w:val="Normal"/>
    <w:uiPriority w:val="1"/>
    <w:qFormat/>
    <w:rsid w:val="008A3DEB"/>
    <w:pPr>
      <w:numPr>
        <w:numId w:val="15"/>
      </w:numPr>
      <w:spacing w:after="240"/>
    </w:pPr>
  </w:style>
  <w:style w:type="paragraph" w:styleId="Title">
    <w:name w:val="Title"/>
    <w:basedOn w:val="Normal"/>
    <w:link w:val="TitleChar"/>
    <w:uiPriority w:val="8"/>
    <w:rsid w:val="008A3DE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8"/>
    <w:rsid w:val="008A3DEB"/>
    <w:rPr>
      <w:rFonts w:ascii="Arial" w:hAnsi="Arial" w:cs="Arial"/>
      <w:b/>
      <w:bCs/>
      <w:kern w:val="28"/>
      <w:sz w:val="32"/>
      <w:szCs w:val="32"/>
    </w:rPr>
  </w:style>
  <w:style w:type="paragraph" w:styleId="TOC1">
    <w:name w:val="toc 1"/>
    <w:basedOn w:val="Normal"/>
    <w:next w:val="Normal"/>
    <w:uiPriority w:val="8"/>
    <w:rsid w:val="008A3DEB"/>
  </w:style>
  <w:style w:type="paragraph" w:styleId="TOC2">
    <w:name w:val="toc 2"/>
    <w:basedOn w:val="Normal"/>
    <w:next w:val="Normal"/>
    <w:uiPriority w:val="8"/>
    <w:rsid w:val="008A3DEB"/>
    <w:pPr>
      <w:ind w:left="240"/>
    </w:pPr>
  </w:style>
  <w:style w:type="paragraph" w:styleId="TOC3">
    <w:name w:val="toc 3"/>
    <w:basedOn w:val="Normal"/>
    <w:next w:val="Normal"/>
    <w:uiPriority w:val="8"/>
    <w:rsid w:val="008A3DEB"/>
    <w:pPr>
      <w:ind w:left="480"/>
    </w:pPr>
  </w:style>
  <w:style w:type="paragraph" w:styleId="TOC4">
    <w:name w:val="toc 4"/>
    <w:basedOn w:val="Normal"/>
    <w:next w:val="Normal"/>
    <w:uiPriority w:val="8"/>
    <w:rsid w:val="008A3DEB"/>
    <w:pPr>
      <w:ind w:left="720"/>
    </w:pPr>
  </w:style>
  <w:style w:type="paragraph" w:styleId="TOC5">
    <w:name w:val="toc 5"/>
    <w:basedOn w:val="Normal"/>
    <w:next w:val="Normal"/>
    <w:uiPriority w:val="8"/>
    <w:rsid w:val="008A3DEB"/>
    <w:pPr>
      <w:ind w:left="960"/>
    </w:pPr>
  </w:style>
  <w:style w:type="paragraph" w:styleId="TOC6">
    <w:name w:val="toc 6"/>
    <w:basedOn w:val="Normal"/>
    <w:next w:val="Normal"/>
    <w:uiPriority w:val="8"/>
    <w:rsid w:val="008A3DEB"/>
    <w:pPr>
      <w:ind w:left="1200"/>
    </w:pPr>
  </w:style>
  <w:style w:type="paragraph" w:styleId="TOC7">
    <w:name w:val="toc 7"/>
    <w:basedOn w:val="Normal"/>
    <w:next w:val="Normal"/>
    <w:uiPriority w:val="8"/>
    <w:rsid w:val="008A3DEB"/>
    <w:pPr>
      <w:ind w:left="1440"/>
    </w:pPr>
  </w:style>
  <w:style w:type="paragraph" w:styleId="TOC8">
    <w:name w:val="toc 8"/>
    <w:basedOn w:val="Normal"/>
    <w:next w:val="Normal"/>
    <w:uiPriority w:val="8"/>
    <w:rsid w:val="008A3DEB"/>
    <w:pPr>
      <w:ind w:left="1680"/>
    </w:pPr>
  </w:style>
  <w:style w:type="paragraph" w:styleId="TOC9">
    <w:name w:val="toc 9"/>
    <w:basedOn w:val="Normal"/>
    <w:next w:val="Normal"/>
    <w:uiPriority w:val="8"/>
    <w:rsid w:val="008A3DEB"/>
    <w:pPr>
      <w:ind w:left="1920"/>
    </w:pPr>
  </w:style>
  <w:style w:type="paragraph" w:customStyle="1" w:styleId="UnNumberedHeading1">
    <w:name w:val="UnNumbered Heading 1"/>
    <w:basedOn w:val="Normal"/>
    <w:next w:val="Normal"/>
    <w:uiPriority w:val="8"/>
    <w:rsid w:val="008A3DEB"/>
    <w:pPr>
      <w:jc w:val="center"/>
    </w:pPr>
    <w:rPr>
      <w:b/>
      <w:smallCaps/>
    </w:rPr>
  </w:style>
  <w:style w:type="character" w:styleId="PageNumber">
    <w:name w:val="page number"/>
    <w:basedOn w:val="DefaultParagraphFont"/>
    <w:uiPriority w:val="8"/>
    <w:unhideWhenUsed/>
    <w:rsid w:val="005F72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82730">
      <w:bodyDiv w:val="1"/>
      <w:marLeft w:val="0"/>
      <w:marRight w:val="0"/>
      <w:marTop w:val="0"/>
      <w:marBottom w:val="0"/>
      <w:divBdr>
        <w:top w:val="none" w:sz="0" w:space="0" w:color="auto"/>
        <w:left w:val="none" w:sz="0" w:space="0" w:color="auto"/>
        <w:bottom w:val="none" w:sz="0" w:space="0" w:color="auto"/>
        <w:right w:val="none" w:sz="0" w:space="0" w:color="auto"/>
      </w:divBdr>
    </w:div>
    <w:div w:id="1387296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1123</Words>
  <Characters>6403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Kitili, Andrew Ndeti</dc:creator>
  <cp:keywords/>
  <dc:description/>
  <cp:lastModifiedBy>Kitili, Andrew Ndeti</cp:lastModifiedBy>
  <cp:revision>2</cp:revision>
  <dcterms:created xsi:type="dcterms:W3CDTF">2019-05-09T21:31:00Z</dcterms:created>
  <dcterms:modified xsi:type="dcterms:W3CDTF">2019-05-09T21:31:00Z</dcterms:modified>
</cp:coreProperties>
</file>