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F3" w:rsidRDefault="00FD4DF3"/>
    <w:p w:rsidR="00FD4DF3" w:rsidRPr="00014E9B" w:rsidRDefault="00FD4DF3" w:rsidP="00FD4DF3">
      <w:pPr>
        <w:rPr>
          <w:rFonts w:ascii="Calibri" w:eastAsia="Calibri" w:hAnsi="Calibri" w:cs="Calibri"/>
          <w:sz w:val="22"/>
          <w:szCs w:val="22"/>
        </w:rPr>
      </w:pPr>
    </w:p>
    <w:p w:rsidR="00FD4DF3" w:rsidRPr="00014E9B" w:rsidRDefault="00FD4DF3" w:rsidP="00FD4DF3">
      <w:pP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bookmarkStart w:id="0" w:name="_GoBack"/>
      <w:bookmarkEnd w:id="0"/>
    </w:p>
    <w:p w:rsidR="00FD4DF3" w:rsidRPr="00014E9B" w:rsidRDefault="00FD4DF3" w:rsidP="00FD4DF3">
      <w:pPr>
        <w:jc w:val="center"/>
        <w:rPr>
          <w:rFonts w:ascii="Calibri" w:eastAsia="Calibri" w:hAnsi="Calibri" w:cs="Calibri"/>
          <w:sz w:val="22"/>
          <w:szCs w:val="22"/>
        </w:rPr>
      </w:pPr>
    </w:p>
    <w:p w:rsidR="00FD4DF3" w:rsidRPr="008D2330" w:rsidRDefault="00FD4DF3" w:rsidP="00FD4DF3">
      <w:pPr>
        <w:jc w:val="center"/>
        <w:rPr>
          <w:rFonts w:ascii="Calibri" w:hAnsi="Calibri" w:cs="Calibri"/>
          <w:b/>
          <w:sz w:val="52"/>
          <w:szCs w:val="52"/>
        </w:rPr>
      </w:pPr>
    </w:p>
    <w:p w:rsidR="008D2330" w:rsidRPr="008D2330" w:rsidRDefault="008D2330" w:rsidP="008D2330">
      <w:pPr>
        <w:jc w:val="center"/>
        <w:rPr>
          <w:rFonts w:ascii="Calibri" w:eastAsia="Calibri" w:hAnsi="Calibri" w:cs="Calibri"/>
          <w:sz w:val="52"/>
          <w:szCs w:val="52"/>
        </w:rPr>
      </w:pPr>
      <w:r w:rsidRPr="008D2330">
        <w:rPr>
          <w:rFonts w:ascii="Calibri" w:eastAsia="Calibri" w:hAnsi="Calibri" w:cs="Calibri"/>
          <w:sz w:val="52"/>
          <w:szCs w:val="52"/>
        </w:rPr>
        <w:t xml:space="preserve">Case study </w:t>
      </w:r>
      <w:r w:rsidR="0054074A">
        <w:rPr>
          <w:rFonts w:ascii="Calibri" w:eastAsia="Calibri" w:hAnsi="Calibri" w:cs="Calibri"/>
          <w:sz w:val="52"/>
          <w:szCs w:val="52"/>
        </w:rPr>
        <w:t>2</w:t>
      </w: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right"/>
        <w:rPr>
          <w:rFonts w:ascii="Calibri" w:eastAsia="Calibri" w:hAnsi="Calibri" w:cs="Calibri"/>
          <w:sz w:val="36"/>
          <w:szCs w:val="36"/>
        </w:rPr>
      </w:pPr>
      <w:r w:rsidRPr="00014E9B">
        <w:rPr>
          <w:rFonts w:ascii="Calibri" w:eastAsia="Calibri" w:hAnsi="Calibri" w:cs="Calibri"/>
          <w:sz w:val="36"/>
          <w:szCs w:val="36"/>
        </w:rPr>
        <w:t>Workshop of Quality on Statistics for SDG</w:t>
      </w:r>
    </w:p>
    <w:p w:rsidR="00FD4DF3" w:rsidRPr="00014E9B" w:rsidRDefault="0054074A" w:rsidP="00FD4DF3">
      <w:pPr>
        <w:jc w:val="right"/>
        <w:rPr>
          <w:rFonts w:ascii="Calibri" w:eastAsia="Calibri" w:hAnsi="Calibri" w:cs="Calibri"/>
          <w:sz w:val="36"/>
          <w:szCs w:val="36"/>
        </w:rPr>
      </w:pPr>
      <w:r>
        <w:rPr>
          <w:rFonts w:ascii="Calibri" w:eastAsia="Calibri" w:hAnsi="Calibri" w:cs="Calibri"/>
          <w:sz w:val="36"/>
          <w:szCs w:val="36"/>
        </w:rPr>
        <w:t>1</w:t>
      </w:r>
      <w:r w:rsidR="00FD4DF3" w:rsidRPr="00014E9B">
        <w:rPr>
          <w:rFonts w:ascii="Calibri" w:eastAsia="Calibri" w:hAnsi="Calibri" w:cs="Calibri"/>
          <w:sz w:val="36"/>
          <w:szCs w:val="36"/>
        </w:rPr>
        <w:t>3-</w:t>
      </w:r>
      <w:r>
        <w:rPr>
          <w:rFonts w:ascii="Calibri" w:eastAsia="Calibri" w:hAnsi="Calibri" w:cs="Calibri"/>
          <w:sz w:val="36"/>
          <w:szCs w:val="36"/>
        </w:rPr>
        <w:t>1</w:t>
      </w:r>
      <w:r w:rsidR="00FD4DF3" w:rsidRPr="00014E9B">
        <w:rPr>
          <w:rFonts w:ascii="Calibri" w:eastAsia="Calibri" w:hAnsi="Calibri" w:cs="Calibri"/>
          <w:sz w:val="36"/>
          <w:szCs w:val="36"/>
        </w:rPr>
        <w:t xml:space="preserve">5, </w:t>
      </w:r>
      <w:r>
        <w:rPr>
          <w:rFonts w:ascii="Calibri" w:eastAsia="Calibri" w:hAnsi="Calibri" w:cs="Calibri"/>
          <w:sz w:val="36"/>
          <w:szCs w:val="36"/>
        </w:rPr>
        <w:t>May</w:t>
      </w:r>
      <w:r w:rsidR="00FD4DF3" w:rsidRPr="00014E9B">
        <w:rPr>
          <w:rFonts w:ascii="Calibri" w:eastAsia="Calibri" w:hAnsi="Calibri" w:cs="Calibri"/>
          <w:sz w:val="36"/>
          <w:szCs w:val="36"/>
        </w:rPr>
        <w:t xml:space="preserve"> 201</w:t>
      </w:r>
      <w:r>
        <w:rPr>
          <w:rFonts w:ascii="Calibri" w:eastAsia="Calibri" w:hAnsi="Calibri" w:cs="Calibri"/>
          <w:sz w:val="36"/>
          <w:szCs w:val="36"/>
        </w:rPr>
        <w:t>9</w:t>
      </w:r>
    </w:p>
    <w:p w:rsidR="00FD4DF3" w:rsidRDefault="00FD4DF3" w:rsidP="00FD4DF3">
      <w:pPr>
        <w:jc w:val="right"/>
        <w:rPr>
          <w:rFonts w:ascii="Calibri" w:eastAsia="Calibri" w:hAnsi="Calibri" w:cs="Calibri"/>
          <w:sz w:val="36"/>
          <w:szCs w:val="36"/>
        </w:rPr>
      </w:pPr>
      <w:r w:rsidRPr="00014E9B">
        <w:rPr>
          <w:rFonts w:ascii="Calibri" w:eastAsia="Calibri" w:hAnsi="Calibri" w:cs="Calibri"/>
          <w:sz w:val="36"/>
          <w:szCs w:val="36"/>
        </w:rPr>
        <w:t>Chiba, Japan</w:t>
      </w:r>
    </w:p>
    <w:tbl>
      <w:tblPr>
        <w:tblW w:w="12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5"/>
        <w:gridCol w:w="5375"/>
      </w:tblGrid>
      <w:tr w:rsidR="0062783F" w:rsidRPr="00183F9E" w:rsidTr="002679D4">
        <w:trPr>
          <w:trHeight w:val="348"/>
          <w:jc w:val="center"/>
        </w:trPr>
        <w:tc>
          <w:tcPr>
            <w:tcW w:w="12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bookmarkStart w:id="1" w:name="_Toc378949498"/>
          <w:bookmarkStart w:id="2" w:name="_Toc378949802"/>
          <w:bookmarkStart w:id="3" w:name="_Toc378950175"/>
          <w:bookmarkStart w:id="4" w:name="_Toc378950426"/>
          <w:bookmarkStart w:id="5" w:name="_Toc403810960"/>
          <w:p w:rsidR="0062783F" w:rsidRPr="00183F9E" w:rsidRDefault="0062783F" w:rsidP="002679D4">
            <w:pPr>
              <w:pStyle w:val="Heading3"/>
              <w:spacing w:after="60" w:line="240" w:lineRule="auto"/>
              <w:jc w:val="center"/>
              <w:rPr>
                <w:rFonts w:cs="Segoe UI"/>
                <w:b w:val="0"/>
                <w:color w:val="4F81BD"/>
                <w:sz w:val="21"/>
                <w:szCs w:val="21"/>
              </w:rPr>
            </w:pPr>
            <w:r w:rsidRPr="0016102C">
              <w:rPr>
                <w:rFonts w:cs="Segoe UI"/>
                <w:b w:val="0"/>
                <w:color w:val="4F81BD"/>
                <w:sz w:val="21"/>
                <w:szCs w:val="21"/>
              </w:rPr>
              <w:lastRenderedPageBreak/>
              <w:fldChar w:fldCharType="begin"/>
            </w:r>
            <w:r w:rsidRPr="0016102C">
              <w:rPr>
                <w:rFonts w:cs="Segoe UI"/>
                <w:b w:val="0"/>
                <w:color w:val="4F81BD"/>
                <w:sz w:val="21"/>
                <w:szCs w:val="21"/>
              </w:rPr>
              <w:instrText xml:space="preserve"> TC "</w:instrText>
            </w:r>
            <w:bookmarkStart w:id="6" w:name="_Toc405450112"/>
            <w:bookmarkStart w:id="7" w:name="_Toc409002243"/>
            <w:r w:rsidRPr="0016102C">
              <w:rPr>
                <w:rFonts w:cs="Segoe UI"/>
                <w:b w:val="0"/>
                <w:color w:val="4F81BD"/>
                <w:sz w:val="21"/>
                <w:szCs w:val="21"/>
              </w:rPr>
              <w:instrText>2a.</w:instrText>
            </w:r>
            <w:r>
              <w:rPr>
                <w:rFonts w:cs="Segoe UI"/>
                <w:b w:val="0"/>
                <w:color w:val="4F81BD"/>
                <w:sz w:val="21"/>
                <w:szCs w:val="21"/>
              </w:rPr>
              <w:instrText xml:space="preserve">   </w:instrText>
            </w:r>
            <w:r w:rsidRPr="0016102C">
              <w:rPr>
                <w:rFonts w:cs="Segoe UI"/>
                <w:b w:val="0"/>
                <w:color w:val="4F81BD"/>
                <w:sz w:val="21"/>
                <w:szCs w:val="21"/>
              </w:rPr>
              <w:instrText xml:space="preserve"> Assessment of Data Quality—Dimensions 0 and 1—Central Bank of Oman</w:instrText>
            </w:r>
            <w:bookmarkEnd w:id="6"/>
            <w:bookmarkEnd w:id="7"/>
            <w:r w:rsidRPr="0016102C">
              <w:rPr>
                <w:rFonts w:cs="Segoe UI"/>
                <w:b w:val="0"/>
                <w:color w:val="4F81BD"/>
                <w:sz w:val="21"/>
                <w:szCs w:val="21"/>
              </w:rPr>
              <w:cr/>
              <w:instrText xml:space="preserve">"\f B </w:instrText>
            </w:r>
            <w:r w:rsidRPr="0016102C">
              <w:rPr>
                <w:rFonts w:cs="Segoe UI"/>
                <w:b w:val="0"/>
                <w:color w:val="4F81BD"/>
                <w:sz w:val="21"/>
                <w:szCs w:val="21"/>
              </w:rPr>
              <w:fldChar w:fldCharType="end"/>
            </w:r>
            <w:r w:rsidRPr="00183F9E">
              <w:rPr>
                <w:rFonts w:cs="Segoe UI"/>
                <w:b w:val="0"/>
                <w:color w:val="4F81BD"/>
                <w:sz w:val="21"/>
                <w:szCs w:val="21"/>
              </w:rPr>
              <w:t>Table 2a. Assessment of Data Quality—Dimensions 0 and 1—</w:t>
            </w:r>
            <w:bookmarkStart w:id="8" w:name="bktable2aAgency"/>
            <w:bookmarkEnd w:id="8"/>
            <w:r w:rsidRPr="00183F9E">
              <w:rPr>
                <w:rFonts w:cs="Segoe UI"/>
                <w:b w:val="0"/>
                <w:color w:val="4F81BD"/>
                <w:sz w:val="21"/>
                <w:szCs w:val="21"/>
              </w:rPr>
              <w:t xml:space="preserve">Central Bank of </w:t>
            </w:r>
            <w:proofErr w:type="spellStart"/>
            <w:r>
              <w:rPr>
                <w:rFonts w:cs="Segoe UI"/>
                <w:b w:val="0"/>
                <w:color w:val="4F81BD"/>
                <w:sz w:val="21"/>
                <w:szCs w:val="21"/>
              </w:rPr>
              <w:t>Erehwon</w:t>
            </w:r>
            <w:bookmarkEnd w:id="1"/>
            <w:bookmarkEnd w:id="2"/>
            <w:bookmarkEnd w:id="3"/>
            <w:bookmarkEnd w:id="4"/>
            <w:bookmarkEnd w:id="5"/>
            <w:proofErr w:type="spellEnd"/>
          </w:p>
        </w:tc>
      </w:tr>
      <w:tr w:rsidR="0062783F" w:rsidRPr="0016102C" w:rsidTr="002679D4">
        <w:trPr>
          <w:trHeight w:val="278"/>
          <w:jc w:val="center"/>
        </w:trPr>
        <w:tc>
          <w:tcPr>
            <w:tcW w:w="6815" w:type="dxa"/>
            <w:shd w:val="clear" w:color="auto" w:fill="auto"/>
            <w:vAlign w:val="center"/>
          </w:tcPr>
          <w:p w:rsidR="0062783F" w:rsidRPr="0016102C" w:rsidRDefault="0062783F" w:rsidP="002679D4">
            <w:pPr>
              <w:spacing w:line="240" w:lineRule="auto"/>
              <w:rPr>
                <w:rFonts w:cs="Segoe UI"/>
                <w:b/>
                <w:color w:val="000000"/>
                <w:sz w:val="18"/>
                <w:szCs w:val="18"/>
              </w:rPr>
            </w:pPr>
            <w:r w:rsidRPr="0016102C">
              <w:rPr>
                <w:rFonts w:cs="Segoe UI"/>
                <w:b/>
                <w:color w:val="000000"/>
                <w:sz w:val="18"/>
                <w:szCs w:val="18"/>
              </w:rPr>
              <w:t>0. Prerequisites of quality</w:t>
            </w:r>
          </w:p>
        </w:tc>
        <w:tc>
          <w:tcPr>
            <w:tcW w:w="5375" w:type="dxa"/>
            <w:shd w:val="clear" w:color="auto" w:fill="auto"/>
            <w:vAlign w:val="center"/>
          </w:tcPr>
          <w:p w:rsidR="0062783F" w:rsidRPr="0016102C" w:rsidRDefault="0062783F" w:rsidP="002679D4">
            <w:pPr>
              <w:spacing w:line="240" w:lineRule="auto"/>
              <w:rPr>
                <w:rFonts w:cs="Segoe UI"/>
                <w:b/>
                <w:color w:val="000000"/>
                <w:sz w:val="18"/>
                <w:szCs w:val="18"/>
              </w:rPr>
            </w:pPr>
            <w:r w:rsidRPr="0016102C">
              <w:rPr>
                <w:rFonts w:cs="Segoe UI"/>
                <w:b/>
                <w:color w:val="000000"/>
                <w:sz w:val="18"/>
                <w:szCs w:val="18"/>
              </w:rPr>
              <w:t>1. Assurances of integrity</w:t>
            </w:r>
          </w:p>
        </w:tc>
      </w:tr>
      <w:tr w:rsidR="0062783F" w:rsidRPr="0016102C" w:rsidTr="002679D4">
        <w:trPr>
          <w:trHeight w:val="1932"/>
          <w:jc w:val="center"/>
        </w:trPr>
        <w:tc>
          <w:tcPr>
            <w:tcW w:w="6815" w:type="dxa"/>
            <w:shd w:val="clear" w:color="auto" w:fill="auto"/>
          </w:tcPr>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Legal and institutional environment</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 xml:space="preserve">The compilation of external sector statistics (ESS) and monetary statistics is supported by the </w:t>
            </w:r>
            <w:r w:rsidRPr="00725258">
              <w:rPr>
                <w:rFonts w:cs="Segoe UI"/>
                <w:i/>
                <w:color w:val="000000"/>
                <w:sz w:val="16"/>
                <w:szCs w:val="16"/>
              </w:rPr>
              <w:t>Banking Law</w:t>
            </w:r>
            <w:r w:rsidRPr="00725258">
              <w:rPr>
                <w:rFonts w:cs="Segoe UI"/>
                <w:color w:val="000000"/>
                <w:sz w:val="16"/>
                <w:szCs w:val="16"/>
              </w:rPr>
              <w:t xml:space="preserve"> (Royal Decree No. 114/ 2000, December 2000 that was amended by Royal decree 69/2012 dated December 6, 2012) and </w:t>
            </w:r>
            <w:r w:rsidRPr="00725258">
              <w:rPr>
                <w:rFonts w:cs="Segoe UI"/>
                <w:i/>
                <w:color w:val="000000"/>
                <w:sz w:val="16"/>
                <w:szCs w:val="16"/>
              </w:rPr>
              <w:t>Statistical Law</w:t>
            </w:r>
            <w:r w:rsidRPr="00725258">
              <w:rPr>
                <w:rFonts w:cs="Segoe UI"/>
                <w:color w:val="000000"/>
                <w:sz w:val="16"/>
                <w:szCs w:val="16"/>
              </w:rPr>
              <w:t xml:space="preserve"> (Royal Decree No</w:t>
            </w:r>
            <w:r>
              <w:rPr>
                <w:rFonts w:cs="Segoe UI"/>
                <w:color w:val="000000"/>
                <w:sz w:val="16"/>
                <w:szCs w:val="16"/>
              </w:rPr>
              <w:t>. 21/2001), which includes: (</w:t>
            </w:r>
            <w:proofErr w:type="spellStart"/>
            <w:r>
              <w:rPr>
                <w:rFonts w:cs="Segoe UI"/>
                <w:color w:val="000000"/>
                <w:sz w:val="16"/>
                <w:szCs w:val="16"/>
              </w:rPr>
              <w:t>i</w:t>
            </w:r>
            <w:proofErr w:type="spellEnd"/>
            <w:r>
              <w:rPr>
                <w:rFonts w:cs="Segoe UI"/>
                <w:color w:val="000000"/>
                <w:sz w:val="16"/>
                <w:szCs w:val="16"/>
              </w:rPr>
              <w:t>) </w:t>
            </w:r>
            <w:r w:rsidRPr="00725258">
              <w:rPr>
                <w:rFonts w:cs="Segoe UI"/>
                <w:color w:val="000000"/>
                <w:sz w:val="16"/>
                <w:szCs w:val="16"/>
              </w:rPr>
              <w:t xml:space="preserve">provisions that empower the </w:t>
            </w:r>
            <w:r w:rsidR="0054074A">
              <w:rPr>
                <w:rFonts w:cs="Segoe UI"/>
                <w:color w:val="000000"/>
                <w:sz w:val="16"/>
                <w:szCs w:val="16"/>
              </w:rPr>
              <w:t>CBE</w:t>
            </w:r>
            <w:r w:rsidRPr="00725258">
              <w:rPr>
                <w:rFonts w:cs="Segoe UI"/>
                <w:color w:val="000000"/>
                <w:sz w:val="16"/>
                <w:szCs w:val="16"/>
              </w:rPr>
              <w:t xml:space="preserve"> to collect data from the central bank and banks, but does not explicitly mandate data collection from non-financial corporations; and (ii)</w:t>
            </w:r>
            <w:r>
              <w:rPr>
                <w:rFonts w:cs="Segoe UI"/>
                <w:color w:val="000000"/>
                <w:sz w:val="16"/>
                <w:szCs w:val="16"/>
              </w:rPr>
              <w:t> </w:t>
            </w:r>
            <w:r w:rsidRPr="00725258">
              <w:rPr>
                <w:rFonts w:cs="Segoe UI"/>
                <w:color w:val="000000"/>
                <w:sz w:val="16"/>
                <w:szCs w:val="16"/>
              </w:rPr>
              <w:t xml:space="preserve">provisions that govern the confidentiality of individual data, including sanction. Application of </w:t>
            </w:r>
            <w:r w:rsidRPr="00725258">
              <w:rPr>
                <w:rFonts w:cs="Segoe UI"/>
                <w:i/>
                <w:color w:val="000000"/>
                <w:sz w:val="16"/>
                <w:szCs w:val="16"/>
              </w:rPr>
              <w:t>Statistical Law</w:t>
            </w:r>
            <w:r w:rsidRPr="00725258">
              <w:rPr>
                <w:rFonts w:cs="Segoe UI"/>
                <w:color w:val="000000"/>
                <w:sz w:val="16"/>
                <w:szCs w:val="16"/>
              </w:rPr>
              <w:t xml:space="preserve"> to the </w:t>
            </w:r>
            <w:r w:rsidR="0054074A">
              <w:rPr>
                <w:rFonts w:cs="Segoe UI"/>
                <w:color w:val="000000"/>
                <w:sz w:val="16"/>
                <w:szCs w:val="16"/>
              </w:rPr>
              <w:t>CBE</w:t>
            </w:r>
            <w:r w:rsidRPr="00725258">
              <w:rPr>
                <w:rFonts w:cs="Segoe UI"/>
                <w:color w:val="000000"/>
                <w:sz w:val="16"/>
                <w:szCs w:val="16"/>
              </w:rPr>
              <w:t xml:space="preserve"> macroeconomic data collection and dissemination would be further reinforced by explicit recognition in the </w:t>
            </w:r>
            <w:r w:rsidRPr="00725258">
              <w:rPr>
                <w:rFonts w:cs="Segoe UI"/>
                <w:i/>
                <w:color w:val="000000"/>
                <w:sz w:val="16"/>
                <w:szCs w:val="16"/>
              </w:rPr>
              <w:t>Banking Law</w:t>
            </w:r>
            <w:r w:rsidRPr="00725258">
              <w:rPr>
                <w:rFonts w:cs="Segoe UI"/>
                <w:color w:val="000000"/>
                <w:sz w:val="16"/>
                <w:szCs w:val="16"/>
              </w:rPr>
              <w:t xml:space="preserve"> of the </w:t>
            </w:r>
            <w:r w:rsidR="0054074A">
              <w:rPr>
                <w:rFonts w:cs="Segoe UI"/>
                <w:color w:val="000000"/>
                <w:sz w:val="16"/>
                <w:szCs w:val="16"/>
              </w:rPr>
              <w:t>CBE</w:t>
            </w:r>
            <w:r w:rsidRPr="00725258">
              <w:rPr>
                <w:rFonts w:cs="Segoe UI"/>
                <w:color w:val="000000"/>
                <w:sz w:val="16"/>
                <w:szCs w:val="16"/>
              </w:rPr>
              <w:t xml:space="preserve"> responsibility to compile and disseminate ESS and monetary statistics. Inter-agency cooperation is broadly adequate; </w:t>
            </w:r>
            <w:proofErr w:type="gramStart"/>
            <w:r w:rsidRPr="00725258">
              <w:rPr>
                <w:rFonts w:cs="Segoe UI"/>
                <w:color w:val="000000"/>
                <w:sz w:val="16"/>
                <w:szCs w:val="16"/>
              </w:rPr>
              <w:t>however</w:t>
            </w:r>
            <w:proofErr w:type="gramEnd"/>
            <w:r w:rsidRPr="00725258">
              <w:rPr>
                <w:rFonts w:cs="Segoe UI"/>
                <w:color w:val="000000"/>
                <w:sz w:val="16"/>
                <w:szCs w:val="16"/>
              </w:rPr>
              <w:t xml:space="preserve"> the </w:t>
            </w:r>
            <w:r w:rsidR="0054074A">
              <w:rPr>
                <w:rFonts w:cs="Segoe UI"/>
                <w:color w:val="000000"/>
                <w:sz w:val="16"/>
                <w:szCs w:val="16"/>
              </w:rPr>
              <w:t>CBE</w:t>
            </w:r>
            <w:r w:rsidRPr="00725258">
              <w:rPr>
                <w:rFonts w:cs="Segoe UI"/>
                <w:color w:val="000000"/>
                <w:sz w:val="16"/>
                <w:szCs w:val="16"/>
              </w:rPr>
              <w:t xml:space="preserve"> legal mandate can be further strengthened.</w:t>
            </w:r>
          </w:p>
          <w:p w:rsidR="0062783F" w:rsidRDefault="0062783F" w:rsidP="002679D4">
            <w:pPr>
              <w:spacing w:line="240" w:lineRule="auto"/>
              <w:rPr>
                <w:rFonts w:cs="Segoe UI"/>
                <w:b/>
                <w:bCs/>
                <w:color w:val="000000"/>
                <w:sz w:val="16"/>
                <w:szCs w:val="16"/>
              </w:rPr>
            </w:pPr>
          </w:p>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Resources</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 xml:space="preserve">Staff resources allocated to compilation of monetary statistics is sufficient to perform existing tasks. Increase in staff resources is needed for development of external sector stock data and implementation of new international standards. Elaborated </w:t>
            </w:r>
            <w:r w:rsidR="0054074A">
              <w:rPr>
                <w:rFonts w:cs="Segoe UI"/>
                <w:color w:val="000000"/>
                <w:sz w:val="16"/>
                <w:szCs w:val="16"/>
              </w:rPr>
              <w:t>CBE</w:t>
            </w:r>
            <w:r w:rsidRPr="00725258">
              <w:rPr>
                <w:rFonts w:cs="Segoe UI"/>
                <w:color w:val="000000"/>
                <w:sz w:val="16"/>
                <w:szCs w:val="16"/>
              </w:rPr>
              <w:t xml:space="preserve"> annual performance review procedures, talent management and knowledge exchange initiatives together with extensive training programs enhance efficient use of human resources. Computer and financial resources are adequate.</w:t>
            </w:r>
          </w:p>
          <w:p w:rsidR="0062783F" w:rsidRDefault="0062783F" w:rsidP="002679D4">
            <w:pPr>
              <w:spacing w:line="240" w:lineRule="auto"/>
              <w:rPr>
                <w:rFonts w:cs="Segoe UI"/>
                <w:b/>
                <w:bCs/>
                <w:color w:val="000000"/>
                <w:sz w:val="16"/>
                <w:szCs w:val="16"/>
              </w:rPr>
            </w:pPr>
          </w:p>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Relevance</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There is an ongoing process to monitor market developments and identify</w:t>
            </w:r>
            <w:r>
              <w:rPr>
                <w:rFonts w:cs="Segoe UI"/>
                <w:color w:val="000000"/>
                <w:sz w:val="16"/>
                <w:szCs w:val="16"/>
              </w:rPr>
              <w:t xml:space="preserve"> gaps in data collection. </w:t>
            </w:r>
            <w:r w:rsidRPr="00725258">
              <w:rPr>
                <w:rFonts w:cs="Segoe UI"/>
                <w:color w:val="000000"/>
                <w:sz w:val="16"/>
                <w:szCs w:val="16"/>
              </w:rPr>
              <w:t xml:space="preserve">The </w:t>
            </w:r>
            <w:r w:rsidR="0054074A">
              <w:rPr>
                <w:rFonts w:cs="Segoe UI"/>
                <w:color w:val="000000"/>
                <w:sz w:val="16"/>
                <w:szCs w:val="16"/>
              </w:rPr>
              <w:t>CBE</w:t>
            </w:r>
            <w:r w:rsidRPr="00725258">
              <w:rPr>
                <w:rFonts w:cs="Segoe UI"/>
                <w:color w:val="000000"/>
                <w:sz w:val="16"/>
                <w:szCs w:val="16"/>
              </w:rPr>
              <w:t xml:space="preserve"> regularly conducts seminars targeted at principal data users, which include academia, to inform them of the specific aspects of current data, the usefulness of existing statistics, and to identify emerging data needs. From these seminars, the </w:t>
            </w:r>
            <w:r w:rsidR="0054074A">
              <w:rPr>
                <w:rFonts w:cs="Segoe UI"/>
                <w:color w:val="000000"/>
                <w:sz w:val="16"/>
                <w:szCs w:val="16"/>
              </w:rPr>
              <w:t>CBE</w:t>
            </w:r>
            <w:r w:rsidRPr="00725258">
              <w:rPr>
                <w:rFonts w:cs="Segoe UI"/>
                <w:color w:val="000000"/>
                <w:sz w:val="16"/>
                <w:szCs w:val="16"/>
              </w:rPr>
              <w:t xml:space="preserve"> received feedbacks and monitors the usability of the published ESS and monetary statistics. Updates to international standards are also monitored (e.g., an action plan exists for </w:t>
            </w:r>
            <w:r w:rsidRPr="00725258">
              <w:rPr>
                <w:rFonts w:cs="Segoe UI"/>
                <w:i/>
                <w:color w:val="000000"/>
                <w:sz w:val="16"/>
                <w:szCs w:val="16"/>
              </w:rPr>
              <w:t>BPM6</w:t>
            </w:r>
            <w:r w:rsidRPr="00725258">
              <w:rPr>
                <w:rFonts w:cs="Segoe UI"/>
                <w:color w:val="000000"/>
                <w:sz w:val="16"/>
                <w:szCs w:val="16"/>
              </w:rPr>
              <w:t xml:space="preserve"> implementation).</w:t>
            </w:r>
          </w:p>
          <w:p w:rsidR="0062783F" w:rsidRDefault="0062783F" w:rsidP="002679D4">
            <w:pPr>
              <w:spacing w:line="240" w:lineRule="auto"/>
              <w:rPr>
                <w:rFonts w:cs="Segoe UI"/>
                <w:b/>
                <w:bCs/>
                <w:color w:val="000000"/>
                <w:sz w:val="16"/>
                <w:szCs w:val="16"/>
              </w:rPr>
            </w:pPr>
          </w:p>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Other quality management</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 xml:space="preserve">The </w:t>
            </w:r>
            <w:r w:rsidR="0054074A">
              <w:rPr>
                <w:rFonts w:cs="Segoe UI"/>
                <w:color w:val="000000"/>
                <w:sz w:val="16"/>
                <w:szCs w:val="16"/>
              </w:rPr>
              <w:t>CBE</w:t>
            </w:r>
            <w:r w:rsidRPr="00725258">
              <w:rPr>
                <w:rFonts w:cs="Segoe UI"/>
                <w:color w:val="000000"/>
                <w:sz w:val="16"/>
                <w:szCs w:val="16"/>
              </w:rPr>
              <w:t xml:space="preserve"> vision emphasizes </w:t>
            </w:r>
            <w:r>
              <w:rPr>
                <w:rFonts w:cs="Segoe UI"/>
                <w:color w:val="000000"/>
                <w:sz w:val="16"/>
                <w:szCs w:val="16"/>
              </w:rPr>
              <w:t xml:space="preserve">the </w:t>
            </w:r>
            <w:r w:rsidRPr="00725258">
              <w:rPr>
                <w:rFonts w:cs="Segoe UI"/>
                <w:color w:val="000000"/>
                <w:sz w:val="16"/>
                <w:szCs w:val="16"/>
              </w:rPr>
              <w:t>provi</w:t>
            </w:r>
            <w:r>
              <w:rPr>
                <w:rFonts w:cs="Segoe UI"/>
                <w:color w:val="000000"/>
                <w:sz w:val="16"/>
                <w:szCs w:val="16"/>
              </w:rPr>
              <w:t>sion of</w:t>
            </w:r>
            <w:r w:rsidRPr="00725258">
              <w:rPr>
                <w:rFonts w:cs="Segoe UI"/>
                <w:color w:val="000000"/>
                <w:sz w:val="16"/>
                <w:szCs w:val="16"/>
              </w:rPr>
              <w:t xml:space="preserve"> timely statistics without compromising the quality. </w:t>
            </w:r>
            <w:r w:rsidR="0054074A">
              <w:rPr>
                <w:rFonts w:cs="Segoe UI"/>
                <w:color w:val="000000"/>
                <w:sz w:val="16"/>
                <w:szCs w:val="16"/>
              </w:rPr>
              <w:t>CBE</w:t>
            </w:r>
            <w:r w:rsidRPr="00725258">
              <w:rPr>
                <w:rFonts w:cs="Segoe UI"/>
                <w:color w:val="000000"/>
                <w:sz w:val="16"/>
                <w:szCs w:val="16"/>
              </w:rPr>
              <w:t xml:space="preserve"> managers are aware of the trade-offs between accuracy and timeliness of statistics, in the event of a trade-off between timeliness and accuracy/reliability, the latter is given priority. The </w:t>
            </w:r>
            <w:r w:rsidR="0054074A">
              <w:rPr>
                <w:rFonts w:cs="Segoe UI"/>
                <w:color w:val="000000"/>
                <w:sz w:val="16"/>
                <w:szCs w:val="16"/>
              </w:rPr>
              <w:t>CBE</w:t>
            </w:r>
            <w:r w:rsidRPr="00725258">
              <w:rPr>
                <w:rFonts w:cs="Segoe UI"/>
                <w:color w:val="000000"/>
                <w:sz w:val="16"/>
                <w:szCs w:val="16"/>
              </w:rPr>
              <w:t xml:space="preserve"> has implemented all of the key recommendations on monetary st</w:t>
            </w:r>
            <w:r>
              <w:rPr>
                <w:rFonts w:cs="Segoe UI"/>
                <w:color w:val="000000"/>
                <w:sz w:val="16"/>
                <w:szCs w:val="16"/>
              </w:rPr>
              <w:t>atistics made by the 2004 ROSC.</w:t>
            </w:r>
          </w:p>
        </w:tc>
        <w:tc>
          <w:tcPr>
            <w:tcW w:w="5375" w:type="dxa"/>
            <w:shd w:val="clear" w:color="auto" w:fill="auto"/>
          </w:tcPr>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 xml:space="preserve">Institutional integrity </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 xml:space="preserve">Statutory provisions in the </w:t>
            </w:r>
            <w:r w:rsidRPr="00725258">
              <w:rPr>
                <w:rFonts w:cs="Segoe UI"/>
                <w:i/>
                <w:color w:val="000000"/>
                <w:sz w:val="16"/>
                <w:szCs w:val="16"/>
              </w:rPr>
              <w:t>Banking Law</w:t>
            </w:r>
            <w:r w:rsidRPr="00725258">
              <w:rPr>
                <w:rFonts w:cs="Segoe UI"/>
                <w:color w:val="000000"/>
                <w:sz w:val="16"/>
                <w:szCs w:val="16"/>
              </w:rPr>
              <w:t xml:space="preserve"> (Article 6 and Article 8A) provide the legal basis for institutional independence and professionalism followed by the </w:t>
            </w:r>
            <w:r w:rsidRPr="00725258">
              <w:rPr>
                <w:rFonts w:cs="Segoe UI"/>
                <w:i/>
                <w:color w:val="000000"/>
                <w:sz w:val="16"/>
                <w:szCs w:val="16"/>
              </w:rPr>
              <w:t>Code of Ethics</w:t>
            </w:r>
            <w:r w:rsidRPr="00725258">
              <w:rPr>
                <w:rFonts w:cs="Segoe UI"/>
                <w:color w:val="000000"/>
                <w:sz w:val="16"/>
                <w:szCs w:val="16"/>
              </w:rPr>
              <w:t xml:space="preserve"> that states that employees shall apply their professional skill</w:t>
            </w:r>
            <w:r>
              <w:rPr>
                <w:rFonts w:cs="Segoe UI"/>
                <w:color w:val="000000"/>
                <w:sz w:val="16"/>
                <w:szCs w:val="16"/>
              </w:rPr>
              <w:t>s</w:t>
            </w:r>
            <w:r w:rsidRPr="00725258">
              <w:rPr>
                <w:rFonts w:cs="Segoe UI"/>
                <w:color w:val="000000"/>
                <w:sz w:val="16"/>
                <w:szCs w:val="16"/>
              </w:rPr>
              <w:t xml:space="preserve">, judgment, care, and due diligence to the best of their ability at all times with honesty and </w:t>
            </w:r>
            <w:proofErr w:type="gramStart"/>
            <w:r w:rsidRPr="00725258">
              <w:rPr>
                <w:rFonts w:cs="Segoe UI"/>
                <w:color w:val="000000"/>
                <w:sz w:val="16"/>
                <w:szCs w:val="16"/>
              </w:rPr>
              <w:t>integrity, and</w:t>
            </w:r>
            <w:proofErr w:type="gramEnd"/>
            <w:r w:rsidRPr="00725258">
              <w:rPr>
                <w:rFonts w:cs="Segoe UI"/>
                <w:color w:val="000000"/>
                <w:sz w:val="16"/>
                <w:szCs w:val="16"/>
              </w:rPr>
              <w:t xml:space="preserve"> hold these above personal considerations.</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In 2012, the integrity of statistical compilation was further reinforced by establishing the NCSI as the major source data provider agency for ESS. The choice of source</w:t>
            </w:r>
            <w:r>
              <w:rPr>
                <w:rFonts w:cs="Segoe UI"/>
                <w:color w:val="000000"/>
                <w:sz w:val="16"/>
                <w:szCs w:val="16"/>
              </w:rPr>
              <w:t>s</w:t>
            </w:r>
            <w:r w:rsidRPr="00725258">
              <w:rPr>
                <w:rFonts w:cs="Segoe UI"/>
                <w:color w:val="000000"/>
                <w:sz w:val="16"/>
                <w:szCs w:val="16"/>
              </w:rPr>
              <w:t xml:space="preserve"> and method</w:t>
            </w:r>
            <w:r>
              <w:rPr>
                <w:rFonts w:cs="Segoe UI"/>
                <w:color w:val="000000"/>
                <w:sz w:val="16"/>
                <w:szCs w:val="16"/>
              </w:rPr>
              <w:t>s</w:t>
            </w:r>
            <w:r w:rsidRPr="00725258">
              <w:rPr>
                <w:rFonts w:cs="Segoe UI"/>
                <w:color w:val="000000"/>
                <w:sz w:val="16"/>
                <w:szCs w:val="16"/>
              </w:rPr>
              <w:t xml:space="preserve"> is based solely on statistical considerations.</w:t>
            </w:r>
          </w:p>
          <w:p w:rsidR="0062783F" w:rsidRDefault="0062783F" w:rsidP="002679D4">
            <w:pPr>
              <w:spacing w:line="240" w:lineRule="auto"/>
              <w:rPr>
                <w:rFonts w:cs="Segoe UI"/>
                <w:b/>
                <w:bCs/>
                <w:color w:val="000000"/>
                <w:sz w:val="16"/>
                <w:szCs w:val="16"/>
              </w:rPr>
            </w:pPr>
          </w:p>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Transparency</w:t>
            </w:r>
          </w:p>
          <w:p w:rsidR="0062783F" w:rsidRPr="00725258" w:rsidRDefault="0062783F" w:rsidP="002679D4">
            <w:pPr>
              <w:spacing w:line="240" w:lineRule="auto"/>
              <w:rPr>
                <w:rFonts w:cs="Segoe UI"/>
                <w:color w:val="000000"/>
                <w:sz w:val="16"/>
                <w:szCs w:val="16"/>
              </w:rPr>
            </w:pPr>
            <w:r w:rsidRPr="00725258">
              <w:rPr>
                <w:rFonts w:cs="Segoe UI"/>
                <w:color w:val="000000"/>
                <w:sz w:val="16"/>
                <w:szCs w:val="16"/>
              </w:rPr>
              <w:t xml:space="preserve">Public availability of the </w:t>
            </w:r>
            <w:r w:rsidRPr="00725258">
              <w:rPr>
                <w:rFonts w:cs="Segoe UI"/>
                <w:i/>
                <w:color w:val="000000"/>
                <w:sz w:val="16"/>
                <w:szCs w:val="16"/>
              </w:rPr>
              <w:t>Banking Law</w:t>
            </w:r>
            <w:r w:rsidRPr="00725258">
              <w:rPr>
                <w:rFonts w:cs="Segoe UI"/>
                <w:color w:val="000000"/>
                <w:sz w:val="16"/>
                <w:szCs w:val="16"/>
              </w:rPr>
              <w:t xml:space="preserve"> and the </w:t>
            </w:r>
            <w:r w:rsidRPr="00725258">
              <w:rPr>
                <w:rFonts w:cs="Segoe UI"/>
                <w:i/>
                <w:color w:val="000000"/>
                <w:sz w:val="16"/>
                <w:szCs w:val="16"/>
              </w:rPr>
              <w:t>Statistical Law</w:t>
            </w:r>
            <w:r w:rsidRPr="00725258">
              <w:rPr>
                <w:rFonts w:cs="Segoe UI"/>
                <w:color w:val="000000"/>
                <w:sz w:val="16"/>
                <w:szCs w:val="16"/>
              </w:rPr>
              <w:t xml:space="preserve"> foster transparency. Somewhat limited written information is available to the public about the terms and conditions under which the statistical series are compiled on the DSBB website. However, staff are available to respond to specific inquir</w:t>
            </w:r>
            <w:r>
              <w:rPr>
                <w:rFonts w:cs="Segoe UI"/>
                <w:color w:val="000000"/>
                <w:sz w:val="16"/>
                <w:szCs w:val="16"/>
              </w:rPr>
              <w:t>ies</w:t>
            </w:r>
            <w:r w:rsidRPr="00725258">
              <w:rPr>
                <w:rFonts w:cs="Segoe UI"/>
                <w:color w:val="000000"/>
                <w:sz w:val="16"/>
                <w:szCs w:val="16"/>
              </w:rPr>
              <w:t xml:space="preserve"> regarding metadata. The acknowledgement of internal governmental access to statistics prior to their release is available on DSBB website. Data released to the public are clearly identified as the product of specific data producing agency. For monetary statistics, advance notice is not usually provided to the public to inform of major changes in methodology, source data, and statistical techniques. For ESS, the </w:t>
            </w:r>
            <w:r w:rsidR="0054074A">
              <w:rPr>
                <w:rFonts w:cs="Segoe UI"/>
                <w:color w:val="000000"/>
                <w:sz w:val="16"/>
                <w:szCs w:val="16"/>
              </w:rPr>
              <w:t>CBE</w:t>
            </w:r>
            <w:r w:rsidRPr="00725258">
              <w:rPr>
                <w:rFonts w:cs="Segoe UI"/>
                <w:color w:val="000000"/>
                <w:sz w:val="16"/>
                <w:szCs w:val="16"/>
              </w:rPr>
              <w:t xml:space="preserve"> has introduced the practice to provide formal advance notice of major changes in methodology or source data.</w:t>
            </w:r>
          </w:p>
          <w:p w:rsidR="0062783F" w:rsidRDefault="0062783F" w:rsidP="002679D4">
            <w:pPr>
              <w:spacing w:line="240" w:lineRule="auto"/>
              <w:rPr>
                <w:rFonts w:cs="Segoe UI"/>
                <w:b/>
                <w:bCs/>
                <w:color w:val="000000"/>
                <w:sz w:val="16"/>
                <w:szCs w:val="16"/>
              </w:rPr>
            </w:pPr>
          </w:p>
          <w:p w:rsidR="0062783F" w:rsidRPr="00725258" w:rsidRDefault="0062783F" w:rsidP="002679D4">
            <w:pPr>
              <w:spacing w:line="240" w:lineRule="auto"/>
              <w:rPr>
                <w:rFonts w:cs="Segoe UI"/>
                <w:b/>
                <w:bCs/>
                <w:color w:val="000000"/>
                <w:sz w:val="16"/>
                <w:szCs w:val="16"/>
              </w:rPr>
            </w:pPr>
            <w:r w:rsidRPr="00725258">
              <w:rPr>
                <w:rFonts w:cs="Segoe UI"/>
                <w:b/>
                <w:bCs/>
                <w:color w:val="000000"/>
                <w:sz w:val="16"/>
                <w:szCs w:val="16"/>
              </w:rPr>
              <w:t>Ethical standards</w:t>
            </w:r>
          </w:p>
          <w:p w:rsidR="0062783F" w:rsidRPr="00725258" w:rsidRDefault="0062783F" w:rsidP="002679D4">
            <w:pPr>
              <w:tabs>
                <w:tab w:val="left" w:pos="1602"/>
              </w:tabs>
              <w:spacing w:line="240" w:lineRule="auto"/>
              <w:rPr>
                <w:rFonts w:cs="Segoe UI"/>
                <w:color w:val="000000"/>
                <w:sz w:val="16"/>
                <w:szCs w:val="16"/>
              </w:rPr>
            </w:pPr>
            <w:r w:rsidRPr="00725258">
              <w:rPr>
                <w:rFonts w:cs="Segoe UI"/>
                <w:color w:val="000000"/>
                <w:sz w:val="16"/>
                <w:szCs w:val="16"/>
              </w:rPr>
              <w:t xml:space="preserve">The </w:t>
            </w:r>
            <w:r w:rsidR="0054074A">
              <w:rPr>
                <w:rFonts w:cs="Segoe UI"/>
                <w:color w:val="000000"/>
                <w:sz w:val="16"/>
                <w:szCs w:val="16"/>
              </w:rPr>
              <w:t>CBE</w:t>
            </w:r>
            <w:r w:rsidRPr="00725258">
              <w:rPr>
                <w:rFonts w:cs="Segoe UI"/>
                <w:color w:val="000000"/>
                <w:sz w:val="16"/>
                <w:szCs w:val="16"/>
              </w:rPr>
              <w:t xml:space="preserve"> has a comprehensive set of ethical standards outline</w:t>
            </w:r>
            <w:r>
              <w:rPr>
                <w:rFonts w:cs="Segoe UI"/>
                <w:color w:val="000000"/>
                <w:sz w:val="16"/>
                <w:szCs w:val="16"/>
              </w:rPr>
              <w:t>d</w:t>
            </w:r>
            <w:r w:rsidRPr="00725258">
              <w:rPr>
                <w:rFonts w:cs="Segoe UI"/>
                <w:color w:val="000000"/>
                <w:sz w:val="16"/>
                <w:szCs w:val="16"/>
              </w:rPr>
              <w:t xml:space="preserve"> in the </w:t>
            </w:r>
            <w:r w:rsidR="0054074A">
              <w:rPr>
                <w:rFonts w:cs="Segoe UI"/>
                <w:color w:val="000000"/>
                <w:sz w:val="16"/>
                <w:szCs w:val="16"/>
              </w:rPr>
              <w:t>CBE</w:t>
            </w:r>
            <w:r w:rsidRPr="00725258">
              <w:rPr>
                <w:rFonts w:cs="Segoe UI"/>
                <w:color w:val="000000"/>
                <w:sz w:val="16"/>
                <w:szCs w:val="16"/>
              </w:rPr>
              <w:t xml:space="preserve"> </w:t>
            </w:r>
            <w:r w:rsidRPr="00725258">
              <w:rPr>
                <w:rFonts w:cs="Segoe UI"/>
                <w:i/>
                <w:color w:val="000000"/>
                <w:sz w:val="16"/>
                <w:szCs w:val="16"/>
              </w:rPr>
              <w:t>Code of Ethics</w:t>
            </w:r>
            <w:r w:rsidRPr="00725258">
              <w:rPr>
                <w:rFonts w:cs="Segoe UI"/>
                <w:color w:val="000000"/>
                <w:sz w:val="16"/>
                <w:szCs w:val="16"/>
              </w:rPr>
              <w:t xml:space="preserve"> </w:t>
            </w:r>
            <w:r>
              <w:rPr>
                <w:rFonts w:cs="Segoe UI"/>
                <w:color w:val="000000"/>
                <w:sz w:val="16"/>
                <w:szCs w:val="16"/>
              </w:rPr>
              <w:t>complemented</w:t>
            </w:r>
            <w:r w:rsidRPr="00725258">
              <w:rPr>
                <w:rFonts w:cs="Segoe UI"/>
                <w:color w:val="000000"/>
                <w:sz w:val="16"/>
                <w:szCs w:val="16"/>
              </w:rPr>
              <w:t xml:space="preserve"> by the </w:t>
            </w:r>
            <w:r w:rsidR="0054074A">
              <w:rPr>
                <w:rFonts w:cs="Segoe UI"/>
                <w:color w:val="000000"/>
                <w:sz w:val="16"/>
                <w:szCs w:val="16"/>
              </w:rPr>
              <w:t>CBE</w:t>
            </w:r>
            <w:r w:rsidRPr="00725258">
              <w:rPr>
                <w:rFonts w:cs="Segoe UI"/>
                <w:color w:val="000000"/>
                <w:sz w:val="16"/>
                <w:szCs w:val="16"/>
              </w:rPr>
              <w:t xml:space="preserve"> </w:t>
            </w:r>
            <w:r w:rsidRPr="00725258">
              <w:rPr>
                <w:rFonts w:cs="Segoe UI"/>
                <w:i/>
                <w:color w:val="000000"/>
                <w:sz w:val="16"/>
                <w:szCs w:val="16"/>
              </w:rPr>
              <w:t>Staff Regulation</w:t>
            </w:r>
            <w:r w:rsidRPr="00725258">
              <w:rPr>
                <w:rFonts w:cs="Segoe UI"/>
                <w:color w:val="000000"/>
                <w:sz w:val="16"/>
                <w:szCs w:val="16"/>
              </w:rPr>
              <w:t xml:space="preserve">. Both regulations are available to all staff. Any conflicts are resolved via the </w:t>
            </w:r>
            <w:r w:rsidR="0054074A">
              <w:rPr>
                <w:rFonts w:cs="Segoe UI"/>
                <w:color w:val="000000"/>
                <w:sz w:val="16"/>
                <w:szCs w:val="16"/>
              </w:rPr>
              <w:t>CBE</w:t>
            </w:r>
            <w:r w:rsidRPr="00725258">
              <w:rPr>
                <w:rFonts w:cs="Segoe UI"/>
                <w:color w:val="000000"/>
                <w:sz w:val="16"/>
                <w:szCs w:val="16"/>
              </w:rPr>
              <w:t xml:space="preserve"> Grievances Committee.</w:t>
            </w:r>
          </w:p>
        </w:tc>
      </w:tr>
    </w:tbl>
    <w:p w:rsidR="0062783F" w:rsidRDefault="0062783F" w:rsidP="00FD4DF3">
      <w:pPr>
        <w:jc w:val="right"/>
        <w:rPr>
          <w:rFonts w:ascii="Calibri" w:eastAsia="Calibri" w:hAnsi="Calibri" w:cs="Calibri"/>
          <w:sz w:val="36"/>
          <w:szCs w:val="36"/>
        </w:rPr>
      </w:pPr>
    </w:p>
    <w:p w:rsidR="00385816" w:rsidRDefault="00385816" w:rsidP="00385816">
      <w:pPr>
        <w:ind w:left="-1440" w:right="1440"/>
        <w:rPr>
          <w:rFonts w:ascii="Segoe UI" w:hAnsi="Segoe UI" w:cs="Segoe UI"/>
          <w:sz w:val="16"/>
          <w:szCs w:val="16"/>
        </w:rPr>
      </w:pPr>
    </w:p>
    <w:p w:rsidR="00385816" w:rsidRDefault="00385816" w:rsidP="00385816">
      <w:pPr>
        <w:ind w:left="-1440" w:right="1440"/>
        <w:rPr>
          <w:rFonts w:ascii="Segoe UI" w:hAnsi="Segoe UI" w:cs="Segoe UI"/>
          <w:sz w:val="16"/>
          <w:szCs w:val="16"/>
        </w:rPr>
      </w:pPr>
    </w:p>
    <w:p w:rsidR="00385816" w:rsidRDefault="00385816"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54074A">
      <w:pPr>
        <w:ind w:right="1440"/>
        <w:rPr>
          <w:rFonts w:ascii="Segoe UI" w:hAnsi="Segoe UI" w:cs="Segoe UI"/>
          <w:sz w:val="16"/>
          <w:szCs w:val="16"/>
        </w:rPr>
      </w:pPr>
    </w:p>
    <w:p w:rsidR="00385816" w:rsidRDefault="00385816" w:rsidP="0054074A">
      <w:pPr>
        <w:ind w:right="1440"/>
        <w:rPr>
          <w:rFonts w:ascii="Segoe UI" w:hAnsi="Segoe UI" w:cs="Segoe UI"/>
          <w:sz w:val="16"/>
          <w:szCs w:val="16"/>
        </w:rPr>
      </w:pPr>
    </w:p>
    <w:tbl>
      <w:tblPr>
        <w:tblW w:w="12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7"/>
        <w:gridCol w:w="3048"/>
        <w:gridCol w:w="3047"/>
        <w:gridCol w:w="3048"/>
      </w:tblGrid>
      <w:tr w:rsidR="0062783F" w:rsidRPr="00195976" w:rsidTr="002679D4">
        <w:trPr>
          <w:trHeight w:val="348"/>
          <w:jc w:val="center"/>
        </w:trPr>
        <w:tc>
          <w:tcPr>
            <w:tcW w:w="12190" w:type="dxa"/>
            <w:gridSpan w:val="4"/>
            <w:shd w:val="clear" w:color="auto" w:fill="auto"/>
            <w:vAlign w:val="center"/>
          </w:tcPr>
          <w:bookmarkStart w:id="9" w:name="_Toc378949506"/>
          <w:bookmarkStart w:id="10" w:name="_Toc378949810"/>
          <w:bookmarkStart w:id="11" w:name="_Toc378950183"/>
          <w:bookmarkStart w:id="12" w:name="_Toc378950434"/>
          <w:bookmarkStart w:id="13" w:name="_Toc403810968"/>
          <w:p w:rsidR="0062783F" w:rsidRPr="00195976" w:rsidRDefault="0062783F" w:rsidP="002679D4">
            <w:pPr>
              <w:pStyle w:val="Heading3"/>
              <w:spacing w:after="60" w:line="240" w:lineRule="auto"/>
              <w:jc w:val="center"/>
              <w:rPr>
                <w:rFonts w:cs="Segoe UI"/>
                <w:color w:val="4F81BD"/>
                <w:sz w:val="21"/>
                <w:szCs w:val="21"/>
              </w:rPr>
            </w:pPr>
            <w:r w:rsidRPr="00195976">
              <w:rPr>
                <w:rFonts w:cs="Segoe UI"/>
                <w:b w:val="0"/>
                <w:color w:val="4F81BD"/>
                <w:sz w:val="21"/>
                <w:szCs w:val="21"/>
              </w:rPr>
              <w:fldChar w:fldCharType="begin"/>
            </w:r>
            <w:r w:rsidRPr="00195976">
              <w:rPr>
                <w:rFonts w:cs="Segoe UI"/>
                <w:b w:val="0"/>
                <w:color w:val="4F81BD"/>
                <w:sz w:val="21"/>
                <w:szCs w:val="21"/>
              </w:rPr>
              <w:instrText xml:space="preserve"> TC "</w:instrText>
            </w:r>
            <w:bookmarkStart w:id="14" w:name="_Toc405450120"/>
            <w:bookmarkStart w:id="15" w:name="_Toc409002251"/>
            <w:r w:rsidRPr="00195976">
              <w:rPr>
                <w:rFonts w:cs="Segoe UI"/>
                <w:b w:val="0"/>
                <w:color w:val="4F81BD"/>
                <w:sz w:val="21"/>
                <w:szCs w:val="21"/>
              </w:rPr>
              <w:instrText>3f.</w:instrText>
            </w:r>
            <w:r>
              <w:rPr>
                <w:rFonts w:cs="Segoe UI"/>
                <w:b w:val="0"/>
                <w:color w:val="4F81BD"/>
                <w:sz w:val="21"/>
                <w:szCs w:val="21"/>
              </w:rPr>
              <w:instrText xml:space="preserve">    </w:instrText>
            </w:r>
            <w:r w:rsidRPr="00195976">
              <w:rPr>
                <w:rFonts w:cs="Segoe UI"/>
                <w:b w:val="0"/>
                <w:color w:val="4F81BD"/>
                <w:sz w:val="21"/>
                <w:szCs w:val="21"/>
              </w:rPr>
              <w:instrText xml:space="preserve"> Assessment of Data Quality—Dimensions 2 and 5—External Sector Statistics</w:instrText>
            </w:r>
            <w:bookmarkEnd w:id="14"/>
            <w:bookmarkEnd w:id="15"/>
            <w:r w:rsidRPr="00195976">
              <w:rPr>
                <w:rFonts w:cs="Segoe UI"/>
                <w:b w:val="0"/>
                <w:color w:val="4F81BD"/>
                <w:sz w:val="21"/>
                <w:szCs w:val="21"/>
              </w:rPr>
              <w:cr/>
              <w:instrText xml:space="preserve">"\f B </w:instrText>
            </w:r>
            <w:r w:rsidRPr="00195976">
              <w:rPr>
                <w:rFonts w:cs="Segoe UI"/>
                <w:b w:val="0"/>
                <w:color w:val="4F81BD"/>
                <w:sz w:val="21"/>
                <w:szCs w:val="21"/>
              </w:rPr>
              <w:fldChar w:fldCharType="end"/>
            </w:r>
            <w:r w:rsidRPr="00195976">
              <w:rPr>
                <w:rFonts w:cs="Segoe UI"/>
                <w:color w:val="4F81BD"/>
                <w:sz w:val="21"/>
                <w:szCs w:val="21"/>
              </w:rPr>
              <w:t>Table 3f. Assessment of Data Quality—Dimensions 2 and 5—External Sector Statistics</w:t>
            </w:r>
            <w:bookmarkEnd w:id="9"/>
            <w:bookmarkEnd w:id="10"/>
            <w:bookmarkEnd w:id="11"/>
            <w:bookmarkEnd w:id="12"/>
            <w:bookmarkEnd w:id="13"/>
          </w:p>
        </w:tc>
      </w:tr>
      <w:tr w:rsidR="0062783F" w:rsidRPr="00195976" w:rsidTr="002679D4">
        <w:trPr>
          <w:trHeight w:val="278"/>
          <w:jc w:val="center"/>
        </w:trPr>
        <w:tc>
          <w:tcPr>
            <w:tcW w:w="3047" w:type="dxa"/>
            <w:shd w:val="clear" w:color="auto" w:fill="auto"/>
            <w:vAlign w:val="center"/>
          </w:tcPr>
          <w:p w:rsidR="0062783F" w:rsidRPr="00195976" w:rsidRDefault="0062783F" w:rsidP="002679D4">
            <w:pPr>
              <w:spacing w:line="240" w:lineRule="auto"/>
              <w:rPr>
                <w:rFonts w:cs="Segoe UI"/>
                <w:b/>
                <w:color w:val="000000"/>
                <w:sz w:val="17"/>
                <w:szCs w:val="17"/>
              </w:rPr>
            </w:pPr>
            <w:r w:rsidRPr="00195976">
              <w:rPr>
                <w:rFonts w:cs="Segoe UI"/>
                <w:b/>
                <w:color w:val="000000"/>
                <w:sz w:val="17"/>
                <w:szCs w:val="17"/>
              </w:rPr>
              <w:t>2. Methodological soundness</w:t>
            </w:r>
          </w:p>
        </w:tc>
        <w:tc>
          <w:tcPr>
            <w:tcW w:w="3048" w:type="dxa"/>
            <w:shd w:val="clear" w:color="auto" w:fill="auto"/>
            <w:vAlign w:val="center"/>
          </w:tcPr>
          <w:p w:rsidR="0062783F" w:rsidRPr="00195976" w:rsidRDefault="0062783F" w:rsidP="002679D4">
            <w:pPr>
              <w:spacing w:line="240" w:lineRule="auto"/>
              <w:rPr>
                <w:rFonts w:cs="Segoe UI"/>
                <w:b/>
                <w:color w:val="000000"/>
                <w:sz w:val="17"/>
                <w:szCs w:val="17"/>
              </w:rPr>
            </w:pPr>
            <w:r w:rsidRPr="00195976">
              <w:rPr>
                <w:rFonts w:cs="Segoe UI"/>
                <w:b/>
                <w:color w:val="000000"/>
                <w:sz w:val="17"/>
                <w:szCs w:val="17"/>
              </w:rPr>
              <w:t>3. Accuracy and reliability</w:t>
            </w:r>
          </w:p>
        </w:tc>
        <w:tc>
          <w:tcPr>
            <w:tcW w:w="3047" w:type="dxa"/>
            <w:shd w:val="clear" w:color="auto" w:fill="auto"/>
            <w:vAlign w:val="center"/>
          </w:tcPr>
          <w:p w:rsidR="0062783F" w:rsidRPr="00195976" w:rsidRDefault="0062783F" w:rsidP="002679D4">
            <w:pPr>
              <w:spacing w:line="240" w:lineRule="auto"/>
              <w:rPr>
                <w:rFonts w:cs="Segoe UI"/>
                <w:b/>
                <w:color w:val="000000"/>
                <w:sz w:val="17"/>
                <w:szCs w:val="17"/>
              </w:rPr>
            </w:pPr>
            <w:r w:rsidRPr="00195976">
              <w:rPr>
                <w:rFonts w:cs="Segoe UI"/>
                <w:b/>
                <w:sz w:val="17"/>
                <w:szCs w:val="17"/>
              </w:rPr>
              <w:t>4. Serviceability</w:t>
            </w:r>
          </w:p>
        </w:tc>
        <w:tc>
          <w:tcPr>
            <w:tcW w:w="3048" w:type="dxa"/>
            <w:shd w:val="clear" w:color="auto" w:fill="auto"/>
            <w:vAlign w:val="center"/>
          </w:tcPr>
          <w:p w:rsidR="0062783F" w:rsidRPr="00195976" w:rsidRDefault="0062783F" w:rsidP="002679D4">
            <w:pPr>
              <w:spacing w:line="240" w:lineRule="auto"/>
              <w:rPr>
                <w:rFonts w:cs="Segoe UI"/>
                <w:b/>
                <w:color w:val="000000"/>
                <w:sz w:val="17"/>
                <w:szCs w:val="17"/>
              </w:rPr>
            </w:pPr>
            <w:r w:rsidRPr="00195976">
              <w:rPr>
                <w:rFonts w:cs="Segoe UI"/>
                <w:b/>
                <w:color w:val="000000"/>
                <w:sz w:val="17"/>
                <w:szCs w:val="17"/>
              </w:rPr>
              <w:t>5. Accessibility</w:t>
            </w:r>
          </w:p>
        </w:tc>
      </w:tr>
      <w:tr w:rsidR="0062783F" w:rsidRPr="00195976" w:rsidTr="002679D4">
        <w:trPr>
          <w:trHeight w:val="1932"/>
          <w:jc w:val="center"/>
        </w:trPr>
        <w:tc>
          <w:tcPr>
            <w:tcW w:w="3047" w:type="dxa"/>
            <w:shd w:val="clear" w:color="auto" w:fill="auto"/>
          </w:tcPr>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Concepts and definitions</w:t>
            </w:r>
          </w:p>
          <w:p w:rsidR="0062783F" w:rsidRPr="00195976" w:rsidRDefault="0062783F" w:rsidP="002679D4">
            <w:pPr>
              <w:spacing w:line="240" w:lineRule="auto"/>
              <w:rPr>
                <w:rFonts w:cs="Segoe UI"/>
                <w:color w:val="000000"/>
                <w:sz w:val="17"/>
                <w:szCs w:val="17"/>
              </w:rPr>
            </w:pPr>
            <w:r>
              <w:rPr>
                <w:rFonts w:cs="Segoe UI"/>
                <w:color w:val="000000"/>
                <w:sz w:val="17"/>
                <w:szCs w:val="17"/>
              </w:rPr>
              <w:t>ESS</w:t>
            </w:r>
            <w:r w:rsidRPr="00195976">
              <w:rPr>
                <w:rFonts w:cs="Segoe UI"/>
                <w:color w:val="000000"/>
                <w:sz w:val="17"/>
                <w:szCs w:val="17"/>
              </w:rPr>
              <w:t xml:space="preserve"> broadly follow the fifth edition of the </w:t>
            </w:r>
            <w:r w:rsidRPr="00195976">
              <w:rPr>
                <w:rFonts w:cs="Segoe UI"/>
                <w:i/>
                <w:color w:val="000000"/>
                <w:sz w:val="17"/>
                <w:szCs w:val="17"/>
              </w:rPr>
              <w:t>Balance of Payments Manual</w:t>
            </w:r>
            <w:r w:rsidRPr="00195976">
              <w:rPr>
                <w:rFonts w:cs="Segoe UI"/>
                <w:color w:val="000000"/>
                <w:sz w:val="17"/>
                <w:szCs w:val="17"/>
              </w:rPr>
              <w:t xml:space="preserve"> (</w:t>
            </w:r>
            <w:r w:rsidRPr="00195976">
              <w:rPr>
                <w:rFonts w:cs="Segoe UI"/>
                <w:i/>
                <w:color w:val="000000"/>
                <w:sz w:val="17"/>
                <w:szCs w:val="17"/>
              </w:rPr>
              <w:t>BPM5</w:t>
            </w:r>
            <w:r w:rsidRPr="00195976">
              <w:rPr>
                <w:rFonts w:cs="Segoe UI"/>
                <w:color w:val="000000"/>
                <w:sz w:val="17"/>
                <w:szCs w:val="17"/>
              </w:rPr>
              <w:t xml:space="preserve">). To adhere to </w:t>
            </w:r>
            <w:r w:rsidRPr="00195976">
              <w:rPr>
                <w:rFonts w:cs="Segoe UI"/>
                <w:i/>
                <w:color w:val="000000"/>
                <w:sz w:val="17"/>
                <w:szCs w:val="17"/>
              </w:rPr>
              <w:t>BPM6</w:t>
            </w:r>
            <w:r w:rsidRPr="00195976">
              <w:rPr>
                <w:rFonts w:cs="Segoe UI"/>
                <w:color w:val="000000"/>
                <w:sz w:val="17"/>
                <w:szCs w:val="17"/>
              </w:rPr>
              <w:t>, recording of selected goods and FDI transactions should be fine-tuned.</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Scope</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The BOP scope is broadly consistent with international standards; </w:t>
            </w:r>
            <w:proofErr w:type="gramStart"/>
            <w:r w:rsidRPr="00195976">
              <w:rPr>
                <w:rFonts w:cs="Segoe UI"/>
                <w:color w:val="000000"/>
                <w:sz w:val="17"/>
                <w:szCs w:val="17"/>
              </w:rPr>
              <w:t>however</w:t>
            </w:r>
            <w:proofErr w:type="gramEnd"/>
            <w:r w:rsidRPr="00195976">
              <w:rPr>
                <w:rFonts w:cs="Segoe UI"/>
                <w:color w:val="000000"/>
                <w:sz w:val="17"/>
                <w:szCs w:val="17"/>
              </w:rPr>
              <w:t xml:space="preserve"> several deficiencies remain, mainly related to private sector transactions and stocks, FDI, and goods and services. </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Classification/sectorization</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Classification and sectorization are broadly in line with </w:t>
            </w:r>
            <w:r w:rsidRPr="00195976">
              <w:rPr>
                <w:rFonts w:cs="Segoe UI"/>
                <w:i/>
                <w:color w:val="000000"/>
                <w:sz w:val="17"/>
                <w:szCs w:val="17"/>
              </w:rPr>
              <w:t>BPM5</w:t>
            </w:r>
            <w:r w:rsidRPr="00195976">
              <w:rPr>
                <w:rFonts w:cs="Segoe UI"/>
                <w:color w:val="000000"/>
                <w:sz w:val="17"/>
                <w:szCs w:val="17"/>
              </w:rPr>
              <w:t xml:space="preserve"> guidelines, shortcomings include classification of selected goods, insurance services, and transactions of the sovereign wealth fund</w:t>
            </w:r>
            <w:r>
              <w:rPr>
                <w:rFonts w:cs="Segoe UI"/>
                <w:color w:val="000000"/>
                <w:sz w:val="17"/>
                <w:szCs w:val="17"/>
              </w:rPr>
              <w:t>s</w:t>
            </w:r>
            <w:r w:rsidRPr="00195976">
              <w:rPr>
                <w:rFonts w:cs="Segoe UI"/>
                <w:color w:val="000000"/>
                <w:sz w:val="17"/>
                <w:szCs w:val="17"/>
              </w:rPr>
              <w:t>.</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Basis for recording</w:t>
            </w:r>
          </w:p>
          <w:p w:rsidR="0062783F" w:rsidRPr="00195976" w:rsidRDefault="0062783F" w:rsidP="002679D4">
            <w:pPr>
              <w:spacing w:line="240" w:lineRule="auto"/>
              <w:rPr>
                <w:rFonts w:cs="Segoe UI"/>
                <w:b/>
                <w:bCs/>
                <w:color w:val="000000"/>
                <w:sz w:val="17"/>
                <w:szCs w:val="17"/>
              </w:rPr>
            </w:pPr>
            <w:r w:rsidRPr="00195976">
              <w:rPr>
                <w:rFonts w:cs="Segoe UI"/>
                <w:color w:val="000000"/>
                <w:sz w:val="17"/>
                <w:szCs w:val="17"/>
              </w:rPr>
              <w:t>For the most part, transactions data are valued at market prices. A number of transactions are recorded on an accrual basis in accordance with BPM5. In most cases, where transaction estimates are derived from the stock data</w:t>
            </w:r>
            <w:r>
              <w:rPr>
                <w:rFonts w:cs="Segoe UI"/>
                <w:color w:val="000000"/>
                <w:sz w:val="17"/>
                <w:szCs w:val="17"/>
              </w:rPr>
              <w:t>,</w:t>
            </w:r>
            <w:r w:rsidRPr="00195976">
              <w:rPr>
                <w:rFonts w:cs="Segoe UI"/>
                <w:color w:val="000000"/>
                <w:sz w:val="17"/>
                <w:szCs w:val="17"/>
              </w:rPr>
              <w:t xml:space="preserve"> rough valuation adjustments are </w:t>
            </w:r>
            <w:r>
              <w:rPr>
                <w:rFonts w:cs="Segoe UI"/>
                <w:color w:val="000000"/>
                <w:sz w:val="17"/>
                <w:szCs w:val="17"/>
              </w:rPr>
              <w:t>estimated</w:t>
            </w:r>
            <w:r w:rsidRPr="00195976">
              <w:rPr>
                <w:rFonts w:cs="Segoe UI"/>
                <w:color w:val="000000"/>
                <w:sz w:val="17"/>
                <w:szCs w:val="17"/>
              </w:rPr>
              <w:t>.</w:t>
            </w:r>
          </w:p>
        </w:tc>
        <w:tc>
          <w:tcPr>
            <w:tcW w:w="3048" w:type="dxa"/>
            <w:shd w:val="clear" w:color="auto" w:fill="auto"/>
          </w:tcPr>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Source data</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Coverage of compilation program is insufficient. Enhancement of banking reporting system and introduction of new surveys to cover gaps in recording goods and services components and in stocks statistics </w:t>
            </w:r>
            <w:r>
              <w:rPr>
                <w:rFonts w:cs="Segoe UI"/>
                <w:color w:val="000000"/>
                <w:sz w:val="17"/>
                <w:szCs w:val="17"/>
              </w:rPr>
              <w:t>are</w:t>
            </w:r>
            <w:r w:rsidRPr="00195976">
              <w:rPr>
                <w:rFonts w:cs="Segoe UI"/>
                <w:color w:val="000000"/>
                <w:sz w:val="17"/>
                <w:szCs w:val="17"/>
              </w:rPr>
              <w:t xml:space="preserve"> needed. Timeliness of source data supports annual </w:t>
            </w:r>
            <w:r>
              <w:rPr>
                <w:rFonts w:cs="Segoe UI"/>
                <w:color w:val="000000"/>
                <w:sz w:val="17"/>
                <w:szCs w:val="17"/>
              </w:rPr>
              <w:t>but not quarterly compilation.</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Assessment of source data</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The </w:t>
            </w:r>
            <w:r w:rsidR="0054074A">
              <w:rPr>
                <w:rFonts w:cs="Segoe UI"/>
                <w:color w:val="000000"/>
                <w:sz w:val="17"/>
                <w:szCs w:val="17"/>
              </w:rPr>
              <w:t>CBE</w:t>
            </w:r>
            <w:r w:rsidRPr="00195976">
              <w:rPr>
                <w:rFonts w:cs="Segoe UI"/>
                <w:color w:val="000000"/>
                <w:sz w:val="17"/>
                <w:szCs w:val="17"/>
              </w:rPr>
              <w:t xml:space="preserve"> staff ensure consistency with the requirements of the BPM5 through coordination/ discussions with the primary source </w:t>
            </w:r>
            <w:r>
              <w:rPr>
                <w:rFonts w:cs="Segoe UI"/>
                <w:color w:val="000000"/>
                <w:sz w:val="17"/>
                <w:szCs w:val="17"/>
              </w:rPr>
              <w:t>data providers</w:t>
            </w:r>
            <w:r w:rsidRPr="00195976">
              <w:rPr>
                <w:rFonts w:cs="Segoe UI"/>
                <w:color w:val="000000"/>
                <w:sz w:val="17"/>
                <w:szCs w:val="17"/>
              </w:rPr>
              <w:t xml:space="preserve"> and developed procedures to adjust source data.</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Statistical techniques</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Generally, data compilation employs sound statistical techniques to deal with data sources, however several benchmark collections are to be updated and there are limited sources </w:t>
            </w:r>
            <w:r w:rsidRPr="009803E0">
              <w:rPr>
                <w:rFonts w:cs="Segoe UI"/>
                <w:color w:val="000000"/>
                <w:sz w:val="17"/>
                <w:szCs w:val="17"/>
              </w:rPr>
              <w:t xml:space="preserve">to </w:t>
            </w:r>
            <w:proofErr w:type="gramStart"/>
            <w:r>
              <w:rPr>
                <w:rFonts w:cs="Segoe UI"/>
                <w:color w:val="000000"/>
                <w:sz w:val="17"/>
                <w:szCs w:val="17"/>
              </w:rPr>
              <w:t>make</w:t>
            </w:r>
            <w:r w:rsidRPr="00195976">
              <w:rPr>
                <w:rFonts w:cs="Segoe UI"/>
                <w:color w:val="000000"/>
                <w:sz w:val="17"/>
                <w:szCs w:val="17"/>
              </w:rPr>
              <w:t xml:space="preserve"> adjustments to</w:t>
            </w:r>
            <w:proofErr w:type="gramEnd"/>
            <w:r w:rsidRPr="00195976">
              <w:rPr>
                <w:rFonts w:cs="Segoe UI"/>
                <w:color w:val="000000"/>
                <w:sz w:val="17"/>
                <w:szCs w:val="17"/>
              </w:rPr>
              <w:t xml:space="preserve"> source data. </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Assessment and validation of intermediate data and statistical outputs</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Intermediate results are validated against other independent data sources when possible. </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Revision studies</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Formal revision studies and analyses are not conducted, while internal monitoring and analysis are performed.</w:t>
            </w:r>
          </w:p>
        </w:tc>
        <w:tc>
          <w:tcPr>
            <w:tcW w:w="3047" w:type="dxa"/>
            <w:shd w:val="clear" w:color="auto" w:fill="auto"/>
          </w:tcPr>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Periodicity and timeliness</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Balance of payments statistics are disseminated annually with s</w:t>
            </w:r>
            <w:r>
              <w:rPr>
                <w:rFonts w:cs="Segoe UI"/>
                <w:color w:val="000000"/>
                <w:sz w:val="17"/>
                <w:szCs w:val="17"/>
              </w:rPr>
              <w:t>ix</w:t>
            </w:r>
            <w:r w:rsidRPr="00195976">
              <w:rPr>
                <w:rFonts w:cs="Segoe UI"/>
                <w:color w:val="000000"/>
                <w:sz w:val="17"/>
                <w:szCs w:val="17"/>
              </w:rPr>
              <w:t xml:space="preserve"> months timeliness, which adheres to the GDDS recommendations. Quarterly balance of payments estimates </w:t>
            </w:r>
            <w:proofErr w:type="gramStart"/>
            <w:r w:rsidRPr="00195976">
              <w:rPr>
                <w:rFonts w:cs="Segoe UI"/>
                <w:color w:val="000000"/>
                <w:sz w:val="17"/>
                <w:szCs w:val="17"/>
              </w:rPr>
              <w:t>are</w:t>
            </w:r>
            <w:proofErr w:type="gramEnd"/>
            <w:r w:rsidRPr="00195976">
              <w:rPr>
                <w:rFonts w:cs="Segoe UI"/>
                <w:color w:val="000000"/>
                <w:sz w:val="17"/>
                <w:szCs w:val="17"/>
              </w:rPr>
              <w:t xml:space="preserve"> compiled for internal purposes (an input to GDP). </w:t>
            </w:r>
            <w:r>
              <w:rPr>
                <w:rFonts w:cs="Segoe UI"/>
                <w:color w:val="000000"/>
                <w:sz w:val="17"/>
                <w:szCs w:val="17"/>
              </w:rPr>
              <w:t xml:space="preserve">Data for comprehensive </w:t>
            </w:r>
            <w:r w:rsidRPr="00195976">
              <w:rPr>
                <w:rFonts w:cs="Segoe UI"/>
                <w:color w:val="000000"/>
                <w:sz w:val="17"/>
                <w:szCs w:val="17"/>
              </w:rPr>
              <w:t>I</w:t>
            </w:r>
            <w:r>
              <w:rPr>
                <w:rFonts w:cs="Segoe UI"/>
                <w:color w:val="000000"/>
                <w:sz w:val="17"/>
                <w:szCs w:val="17"/>
              </w:rPr>
              <w:t>IP</w:t>
            </w:r>
            <w:r w:rsidRPr="00195976">
              <w:rPr>
                <w:rFonts w:cs="Segoe UI"/>
                <w:color w:val="000000"/>
                <w:sz w:val="17"/>
                <w:szCs w:val="17"/>
              </w:rPr>
              <w:t xml:space="preserve"> is under development.</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Consistency</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Balance of payments data are consistent internally and over time and generally consistent or reconcilable with other datasets.</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Revision policy and practice</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In recent years, the revision policy and practice has been refined. Data for a new year are preliminary and subject to revisions during the following year. Public is informed of revisions via explanatory notes included in the </w:t>
            </w:r>
            <w:r w:rsidR="0054074A">
              <w:rPr>
                <w:rFonts w:cs="Segoe UI"/>
                <w:color w:val="000000"/>
                <w:sz w:val="17"/>
                <w:szCs w:val="17"/>
              </w:rPr>
              <w:t>CBE</w:t>
            </w:r>
            <w:r w:rsidRPr="00195976">
              <w:rPr>
                <w:rFonts w:cs="Segoe UI"/>
                <w:color w:val="000000"/>
                <w:sz w:val="17"/>
                <w:szCs w:val="17"/>
              </w:rPr>
              <w:t>’s Annual Report. Formal studies and analyses of revisions have not been carried out.</w:t>
            </w:r>
          </w:p>
        </w:tc>
        <w:tc>
          <w:tcPr>
            <w:tcW w:w="3048" w:type="dxa"/>
            <w:shd w:val="clear" w:color="auto" w:fill="auto"/>
          </w:tcPr>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Data accessibility</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Data are disseminated in accordance with BPM5 standard components. Supplementary publications on specific components are available. Separate ESS publication is to be considered. Work is ongoing to ensure dissemination of time-series in database format. A schedule announces in advance the approximate date the statistics are to be released, alt</w:t>
            </w:r>
            <w:r>
              <w:rPr>
                <w:rFonts w:cs="Segoe UI"/>
                <w:color w:val="000000"/>
                <w:sz w:val="17"/>
                <w:szCs w:val="17"/>
              </w:rPr>
              <w:t>hough there is no precise date.</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Metadata accessibility</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The balance of payments metadata </w:t>
            </w:r>
            <w:proofErr w:type="gramStart"/>
            <w:r w:rsidRPr="00195976">
              <w:rPr>
                <w:rFonts w:cs="Segoe UI"/>
                <w:color w:val="000000"/>
                <w:sz w:val="17"/>
                <w:szCs w:val="17"/>
              </w:rPr>
              <w:t>are</w:t>
            </w:r>
            <w:proofErr w:type="gramEnd"/>
            <w:r w:rsidRPr="00195976">
              <w:rPr>
                <w:rFonts w:cs="Segoe UI"/>
                <w:color w:val="000000"/>
                <w:sz w:val="17"/>
                <w:szCs w:val="17"/>
              </w:rPr>
              <w:t xml:space="preserve"> published on the IMF’s DSBB website and the country notes section in the Balance of Payments Statistics Yearbook, Part 3. Separate publication on ESS data sources and methods is considered. </w:t>
            </w:r>
          </w:p>
          <w:p w:rsidR="0062783F" w:rsidRPr="00195976" w:rsidRDefault="0062783F" w:rsidP="002679D4">
            <w:pPr>
              <w:spacing w:line="240" w:lineRule="auto"/>
              <w:rPr>
                <w:rFonts w:cs="Segoe UI"/>
                <w:b/>
                <w:bCs/>
                <w:color w:val="000000"/>
                <w:sz w:val="17"/>
                <w:szCs w:val="17"/>
              </w:rPr>
            </w:pPr>
            <w:r w:rsidRPr="00195976">
              <w:rPr>
                <w:rFonts w:cs="Segoe UI"/>
                <w:b/>
                <w:bCs/>
                <w:color w:val="000000"/>
                <w:sz w:val="17"/>
                <w:szCs w:val="17"/>
              </w:rPr>
              <w:t>Assistance to users</w:t>
            </w:r>
          </w:p>
          <w:p w:rsidR="0062783F" w:rsidRPr="00195976" w:rsidRDefault="0062783F" w:rsidP="002679D4">
            <w:pPr>
              <w:spacing w:line="240" w:lineRule="auto"/>
              <w:rPr>
                <w:rFonts w:cs="Segoe UI"/>
                <w:color w:val="000000"/>
                <w:sz w:val="17"/>
                <w:szCs w:val="17"/>
              </w:rPr>
            </w:pPr>
            <w:r w:rsidRPr="00195976">
              <w:rPr>
                <w:rFonts w:cs="Segoe UI"/>
                <w:color w:val="000000"/>
                <w:sz w:val="17"/>
                <w:szCs w:val="17"/>
              </w:rPr>
              <w:t xml:space="preserve">A “Feedback” box is posted on the </w:t>
            </w:r>
            <w:r w:rsidR="0054074A">
              <w:rPr>
                <w:rFonts w:cs="Segoe UI"/>
                <w:color w:val="000000"/>
                <w:sz w:val="17"/>
                <w:szCs w:val="17"/>
              </w:rPr>
              <w:t>CBE</w:t>
            </w:r>
            <w:r w:rsidRPr="00195976">
              <w:rPr>
                <w:rFonts w:cs="Segoe UI"/>
                <w:color w:val="000000"/>
                <w:sz w:val="17"/>
                <w:szCs w:val="17"/>
              </w:rPr>
              <w:t xml:space="preserve"> website for comments/questions of users. The ERSD is specified as an entry point for the data queries. Contact information is also provided on the IMF’s DSBB website.</w:t>
            </w:r>
          </w:p>
        </w:tc>
      </w:tr>
    </w:tbl>
    <w:p w:rsidR="00385816" w:rsidRDefault="00385816" w:rsidP="00385816">
      <w:pPr>
        <w:ind w:left="-1440" w:right="1440"/>
        <w:rPr>
          <w:rFonts w:ascii="Segoe UI" w:hAnsi="Segoe UI" w:cs="Segoe UI"/>
          <w:sz w:val="16"/>
          <w:szCs w:val="16"/>
        </w:rPr>
      </w:pPr>
    </w:p>
    <w:p w:rsidR="0062783F" w:rsidRDefault="0062783F" w:rsidP="0054074A">
      <w:pPr>
        <w:ind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0D5808">
      <w:pPr>
        <w:ind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62783F" w:rsidRDefault="0062783F" w:rsidP="00385816">
      <w:pPr>
        <w:ind w:left="-1440" w:right="1440"/>
        <w:rPr>
          <w:rFonts w:ascii="Segoe UI" w:hAnsi="Segoe UI" w:cs="Segoe UI"/>
          <w:sz w:val="16"/>
          <w:szCs w:val="16"/>
        </w:rPr>
      </w:pPr>
    </w:p>
    <w:p w:rsidR="00385816" w:rsidRDefault="00385816" w:rsidP="00385816">
      <w:pPr>
        <w:ind w:left="-1440" w:right="1440"/>
        <w:rPr>
          <w:rFonts w:ascii="Segoe UI" w:hAnsi="Segoe UI" w:cs="Segoe UI"/>
          <w:sz w:val="16"/>
          <w:szCs w:val="16"/>
        </w:rPr>
      </w:pPr>
    </w:p>
    <w:sectPr w:rsidR="00385816" w:rsidSect="00385816">
      <w:headerReference w:type="default" r:id="rId7"/>
      <w:headerReference w:type="first" r:id="rId8"/>
      <w:pgSz w:w="15840" w:h="12240" w:orient="landscape"/>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935" w:rsidRDefault="00776935" w:rsidP="000B7010">
      <w:pPr>
        <w:spacing w:line="240" w:lineRule="auto"/>
      </w:pPr>
      <w:r>
        <w:separator/>
      </w:r>
    </w:p>
  </w:endnote>
  <w:endnote w:type="continuationSeparator" w:id="0">
    <w:p w:rsidR="00776935" w:rsidRDefault="00776935"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935" w:rsidRDefault="00776935" w:rsidP="000B7010">
      <w:pPr>
        <w:spacing w:line="240" w:lineRule="auto"/>
      </w:pPr>
      <w:r>
        <w:separator/>
      </w:r>
    </w:p>
  </w:footnote>
  <w:footnote w:type="continuationSeparator" w:id="0">
    <w:p w:rsidR="00776935" w:rsidRDefault="00776935"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2E" w:rsidRDefault="005F722E"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sidR="008D2330">
      <w:rPr>
        <w:rStyle w:val="PageNumber"/>
        <w:noProof/>
      </w:rPr>
      <w:t>2</w:t>
    </w:r>
    <w:r>
      <w:rPr>
        <w:rStyle w:val="PageNumber"/>
      </w:rPr>
      <w:fldChar w:fldCharType="end"/>
    </w:r>
  </w:p>
  <w:p w:rsidR="002A2B4B" w:rsidRDefault="002A2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2E" w:rsidRDefault="00FD4DF3" w:rsidP="00FD4DF3">
    <w:pPr>
      <w:pStyle w:val="Header"/>
    </w:pPr>
    <w:r>
      <w:object w:dxaOrig="2541" w:dyaOrig="2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42.8pt" fillcolor="window">
          <v:imagedata r:id="rId1" o:title=""/>
        </v:shape>
        <o:OLEObject Type="Embed" ProgID="Word.Picture.8" ShapeID="_x0000_i1025" DrawAspect="Content" ObjectID="_16189275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FF27A0"/>
    <w:multiLevelType w:val="hybridMultilevel"/>
    <w:tmpl w:val="A3F2E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8"/>
  </w:num>
  <w:num w:numId="2">
    <w:abstractNumId w:val="8"/>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16"/>
    <w:rsid w:val="000A1AEE"/>
    <w:rsid w:val="000B7010"/>
    <w:rsid w:val="000D5808"/>
    <w:rsid w:val="00107422"/>
    <w:rsid w:val="001D081E"/>
    <w:rsid w:val="00232FB2"/>
    <w:rsid w:val="002A2B4B"/>
    <w:rsid w:val="00325E95"/>
    <w:rsid w:val="003712A7"/>
    <w:rsid w:val="00385816"/>
    <w:rsid w:val="003D2443"/>
    <w:rsid w:val="00451C7E"/>
    <w:rsid w:val="00494702"/>
    <w:rsid w:val="00527B01"/>
    <w:rsid w:val="00531040"/>
    <w:rsid w:val="0054074A"/>
    <w:rsid w:val="005A7086"/>
    <w:rsid w:val="005C0460"/>
    <w:rsid w:val="005F722E"/>
    <w:rsid w:val="0060374F"/>
    <w:rsid w:val="0061550F"/>
    <w:rsid w:val="0062783F"/>
    <w:rsid w:val="006F658C"/>
    <w:rsid w:val="00776935"/>
    <w:rsid w:val="008A3DEB"/>
    <w:rsid w:val="008D2330"/>
    <w:rsid w:val="0094003C"/>
    <w:rsid w:val="009405BC"/>
    <w:rsid w:val="00AA24AB"/>
    <w:rsid w:val="00B7537B"/>
    <w:rsid w:val="00CE4A79"/>
    <w:rsid w:val="00D87E53"/>
    <w:rsid w:val="00EB5DF9"/>
    <w:rsid w:val="00F03CAD"/>
    <w:rsid w:val="00F078E4"/>
    <w:rsid w:val="00FD4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4FA2A"/>
  <w15:chartTrackingRefBased/>
  <w15:docId w15:val="{62293F74-1BB9-4515-B446-F83F6FAA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8"/>
    <w:unhideWhenUsed/>
    <w:rsid w:val="005F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730">
      <w:bodyDiv w:val="1"/>
      <w:marLeft w:val="0"/>
      <w:marRight w:val="0"/>
      <w:marTop w:val="0"/>
      <w:marBottom w:val="0"/>
      <w:divBdr>
        <w:top w:val="none" w:sz="0" w:space="0" w:color="auto"/>
        <w:left w:val="none" w:sz="0" w:space="0" w:color="auto"/>
        <w:bottom w:val="none" w:sz="0" w:space="0" w:color="auto"/>
        <w:right w:val="none" w:sz="0" w:space="0" w:color="auto"/>
      </w:divBdr>
    </w:div>
    <w:div w:id="13872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Kitili, Andrew Ndeti</dc:creator>
  <cp:keywords/>
  <dc:description/>
  <cp:lastModifiedBy>Kitili, Andrew Ndeti</cp:lastModifiedBy>
  <cp:revision>3</cp:revision>
  <dcterms:created xsi:type="dcterms:W3CDTF">2019-05-09T21:17:00Z</dcterms:created>
  <dcterms:modified xsi:type="dcterms:W3CDTF">2019-05-09T21:19:00Z</dcterms:modified>
</cp:coreProperties>
</file>