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F3" w:rsidRDefault="00FD4DF3"/>
    <w:p w:rsidR="00FD4DF3" w:rsidRPr="00014E9B" w:rsidRDefault="00FD4DF3" w:rsidP="00FD4DF3">
      <w:pPr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D4DF3" w:rsidRPr="008D2330" w:rsidRDefault="00FD4DF3" w:rsidP="00FD4DF3">
      <w:pPr>
        <w:jc w:val="center"/>
        <w:rPr>
          <w:rFonts w:ascii="Calibri" w:hAnsi="Calibri" w:cs="Calibri"/>
          <w:b/>
          <w:sz w:val="52"/>
          <w:szCs w:val="52"/>
        </w:rPr>
      </w:pPr>
    </w:p>
    <w:p w:rsidR="008D2330" w:rsidRPr="008D2330" w:rsidRDefault="008D2330" w:rsidP="008D2330">
      <w:pPr>
        <w:jc w:val="center"/>
        <w:rPr>
          <w:rFonts w:ascii="Calibri" w:eastAsia="Calibri" w:hAnsi="Calibri" w:cs="Calibri"/>
          <w:sz w:val="52"/>
          <w:szCs w:val="52"/>
        </w:rPr>
      </w:pPr>
      <w:r w:rsidRPr="008D2330">
        <w:rPr>
          <w:rFonts w:ascii="Calibri" w:eastAsia="Calibri" w:hAnsi="Calibri" w:cs="Calibri"/>
          <w:sz w:val="52"/>
          <w:szCs w:val="52"/>
        </w:rPr>
        <w:t xml:space="preserve">Case study </w:t>
      </w:r>
      <w:r w:rsidR="00E7155D">
        <w:rPr>
          <w:rFonts w:ascii="Calibri" w:eastAsia="Calibri" w:hAnsi="Calibri" w:cs="Calibri"/>
          <w:sz w:val="52"/>
          <w:szCs w:val="52"/>
        </w:rPr>
        <w:t>B</w:t>
      </w:r>
      <w:bookmarkStart w:id="0" w:name="_GoBack"/>
      <w:bookmarkEnd w:id="0"/>
      <w:r w:rsidRPr="008D2330">
        <w:rPr>
          <w:rFonts w:ascii="Calibri" w:eastAsia="Calibri" w:hAnsi="Calibri" w:cs="Calibri"/>
          <w:sz w:val="52"/>
          <w:szCs w:val="52"/>
        </w:rPr>
        <w:t>1</w:t>
      </w:r>
    </w:p>
    <w:p w:rsidR="00FD4DF3" w:rsidRPr="00014E9B" w:rsidRDefault="00FD4DF3" w:rsidP="00FD4DF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D4DF3" w:rsidRPr="00014E9B" w:rsidRDefault="00FD4DF3" w:rsidP="00FD4DF3">
      <w:pPr>
        <w:jc w:val="right"/>
        <w:rPr>
          <w:rFonts w:ascii="Calibri" w:eastAsia="Calibri" w:hAnsi="Calibri" w:cs="Calibri"/>
          <w:sz w:val="36"/>
          <w:szCs w:val="36"/>
        </w:rPr>
      </w:pPr>
      <w:r w:rsidRPr="00014E9B">
        <w:rPr>
          <w:rFonts w:ascii="Calibri" w:eastAsia="Calibri" w:hAnsi="Calibri" w:cs="Calibri"/>
          <w:sz w:val="36"/>
          <w:szCs w:val="36"/>
        </w:rPr>
        <w:t>Workshop of Quality on Statistics for SDG</w:t>
      </w:r>
    </w:p>
    <w:p w:rsidR="00FD4DF3" w:rsidRPr="00014E9B" w:rsidRDefault="00804AA8" w:rsidP="00FD4DF3">
      <w:pPr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</w:t>
      </w:r>
      <w:r w:rsidR="00FD4DF3" w:rsidRPr="00014E9B">
        <w:rPr>
          <w:rFonts w:ascii="Calibri" w:eastAsia="Calibri" w:hAnsi="Calibri" w:cs="Calibri"/>
          <w:sz w:val="36"/>
          <w:szCs w:val="36"/>
        </w:rPr>
        <w:t>3-</w:t>
      </w:r>
      <w:r>
        <w:rPr>
          <w:rFonts w:ascii="Calibri" w:eastAsia="Calibri" w:hAnsi="Calibri" w:cs="Calibri"/>
          <w:sz w:val="36"/>
          <w:szCs w:val="36"/>
        </w:rPr>
        <w:t>1</w:t>
      </w:r>
      <w:r w:rsidR="00FD4DF3" w:rsidRPr="00014E9B">
        <w:rPr>
          <w:rFonts w:ascii="Calibri" w:eastAsia="Calibri" w:hAnsi="Calibri" w:cs="Calibri"/>
          <w:sz w:val="36"/>
          <w:szCs w:val="36"/>
        </w:rPr>
        <w:t xml:space="preserve">5, </w:t>
      </w:r>
      <w:r>
        <w:rPr>
          <w:rFonts w:ascii="Calibri" w:eastAsia="Calibri" w:hAnsi="Calibri" w:cs="Calibri"/>
          <w:sz w:val="36"/>
          <w:szCs w:val="36"/>
        </w:rPr>
        <w:t>May</w:t>
      </w:r>
      <w:r w:rsidR="00FD4DF3" w:rsidRPr="00014E9B">
        <w:rPr>
          <w:rFonts w:ascii="Calibri" w:eastAsia="Calibri" w:hAnsi="Calibri" w:cs="Calibri"/>
          <w:sz w:val="36"/>
          <w:szCs w:val="36"/>
        </w:rPr>
        <w:t xml:space="preserve"> 201</w:t>
      </w:r>
      <w:r>
        <w:rPr>
          <w:rFonts w:ascii="Calibri" w:eastAsia="Calibri" w:hAnsi="Calibri" w:cs="Calibri"/>
          <w:sz w:val="36"/>
          <w:szCs w:val="36"/>
        </w:rPr>
        <w:t>9</w:t>
      </w:r>
    </w:p>
    <w:p w:rsidR="00FD4DF3" w:rsidRPr="00FD4DF3" w:rsidRDefault="00FD4DF3" w:rsidP="00FD4DF3">
      <w:pPr>
        <w:jc w:val="right"/>
        <w:rPr>
          <w:rFonts w:ascii="Calibri" w:eastAsia="Calibri" w:hAnsi="Calibri" w:cs="Calibri"/>
          <w:sz w:val="36"/>
          <w:szCs w:val="36"/>
        </w:rPr>
      </w:pPr>
      <w:r w:rsidRPr="00014E9B">
        <w:rPr>
          <w:rFonts w:ascii="Calibri" w:eastAsia="Calibri" w:hAnsi="Calibri" w:cs="Calibri"/>
          <w:sz w:val="36"/>
          <w:szCs w:val="36"/>
        </w:rPr>
        <w:t>Chiba, Japan</w:t>
      </w:r>
    </w:p>
    <w:tbl>
      <w:tblPr>
        <w:tblW w:w="12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6095"/>
      </w:tblGrid>
      <w:tr w:rsidR="00385816" w:rsidRPr="0016102C" w:rsidTr="009076C9">
        <w:trPr>
          <w:trHeight w:val="348"/>
          <w:jc w:val="center"/>
        </w:trPr>
        <w:tc>
          <w:tcPr>
            <w:tcW w:w="12190" w:type="dxa"/>
            <w:gridSpan w:val="2"/>
            <w:shd w:val="clear" w:color="auto" w:fill="auto"/>
            <w:vAlign w:val="center"/>
          </w:tcPr>
          <w:bookmarkStart w:id="1" w:name="_Toc378949500"/>
          <w:bookmarkStart w:id="2" w:name="_Toc378949804"/>
          <w:bookmarkStart w:id="3" w:name="_Toc378950177"/>
          <w:bookmarkStart w:id="4" w:name="_Toc378950428"/>
          <w:bookmarkStart w:id="5" w:name="_Toc403810962"/>
          <w:p w:rsidR="00385816" w:rsidRPr="0016102C" w:rsidRDefault="00385816" w:rsidP="009076C9">
            <w:pPr>
              <w:pStyle w:val="Heading3"/>
              <w:spacing w:after="60" w:line="240" w:lineRule="auto"/>
              <w:jc w:val="center"/>
              <w:rPr>
                <w:rFonts w:cs="Segoe UI"/>
                <w:color w:val="4F81BD"/>
                <w:sz w:val="21"/>
                <w:szCs w:val="21"/>
              </w:rPr>
            </w:pPr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lastRenderedPageBreak/>
              <w:fldChar w:fldCharType="begin"/>
            </w:r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instrText xml:space="preserve"> TC "</w:instrText>
            </w:r>
            <w:bookmarkStart w:id="6" w:name="_Toc405450114"/>
            <w:bookmarkStart w:id="7" w:name="_Toc409002245"/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instrText xml:space="preserve">2c. </w:instrText>
            </w:r>
            <w:r>
              <w:rPr>
                <w:rFonts w:cs="Segoe UI"/>
                <w:b w:val="0"/>
                <w:color w:val="4F81BD"/>
                <w:sz w:val="21"/>
                <w:szCs w:val="21"/>
              </w:rPr>
              <w:instrText xml:space="preserve">    </w:instrText>
            </w:r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instrText>Assessment of D</w:instrText>
            </w:r>
            <w:r>
              <w:rPr>
                <w:rFonts w:cs="Segoe UI"/>
                <w:b w:val="0"/>
                <w:color w:val="4F81BD"/>
                <w:sz w:val="21"/>
                <w:szCs w:val="21"/>
              </w:rPr>
              <w:instrText>ata Quality—Dimensions 0 and 1—</w:instrText>
            </w:r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instrText xml:space="preserve">National Centre for Statistics </w:instrText>
            </w:r>
            <w:r>
              <w:rPr>
                <w:rFonts w:cs="Segoe UI"/>
                <w:b w:val="0"/>
                <w:color w:val="4F81BD"/>
                <w:sz w:val="21"/>
                <w:szCs w:val="21"/>
              </w:rPr>
              <w:instrText>and</w:instrText>
            </w:r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instrText xml:space="preserve"> Information (NCSI)</w:instrText>
            </w:r>
            <w:bookmarkEnd w:id="6"/>
            <w:bookmarkEnd w:id="7"/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cr/>
              <w:instrText xml:space="preserve">"\f B </w:instrText>
            </w:r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fldChar w:fldCharType="end"/>
            </w:r>
            <w:r w:rsidRPr="0016102C">
              <w:rPr>
                <w:rFonts w:cs="Segoe UI"/>
                <w:color w:val="4F81BD"/>
                <w:sz w:val="21"/>
                <w:szCs w:val="21"/>
              </w:rPr>
              <w:t xml:space="preserve">Table 2c. </w:t>
            </w:r>
            <w:proofErr w:type="spellStart"/>
            <w:r w:rsidR="00EB5DF9">
              <w:rPr>
                <w:rFonts w:cs="Segoe UI"/>
                <w:color w:val="4F81BD"/>
                <w:sz w:val="21"/>
                <w:szCs w:val="21"/>
              </w:rPr>
              <w:t>Erehw</w:t>
            </w:r>
            <w:r w:rsidR="00AA24AB">
              <w:rPr>
                <w:rFonts w:cs="Segoe UI"/>
                <w:color w:val="4F81BD"/>
                <w:sz w:val="21"/>
                <w:szCs w:val="21"/>
              </w:rPr>
              <w:t>on</w:t>
            </w:r>
            <w:proofErr w:type="spellEnd"/>
            <w:r>
              <w:rPr>
                <w:rFonts w:cs="Segoe UI"/>
                <w:color w:val="4F81BD"/>
                <w:sz w:val="21"/>
                <w:szCs w:val="21"/>
              </w:rPr>
              <w:t xml:space="preserve">: </w:t>
            </w:r>
            <w:r w:rsidRPr="0016102C">
              <w:rPr>
                <w:rFonts w:cs="Segoe UI"/>
                <w:color w:val="4F81BD"/>
                <w:sz w:val="21"/>
                <w:szCs w:val="21"/>
              </w:rPr>
              <w:t>Assessment of Data Quality—Dimensions 0 and 1—</w:t>
            </w:r>
            <w:bookmarkStart w:id="8" w:name="bktable2cAgency"/>
            <w:bookmarkEnd w:id="1"/>
            <w:bookmarkEnd w:id="2"/>
            <w:bookmarkEnd w:id="3"/>
            <w:bookmarkEnd w:id="4"/>
            <w:bookmarkEnd w:id="8"/>
            <w:r w:rsidRPr="0016102C">
              <w:rPr>
                <w:rFonts w:cs="Segoe UI"/>
                <w:color w:val="4F81BD"/>
                <w:sz w:val="21"/>
                <w:szCs w:val="21"/>
              </w:rPr>
              <w:t>National Center for Statistics (</w:t>
            </w:r>
            <w:r w:rsidR="00AA24AB">
              <w:rPr>
                <w:rFonts w:cs="Segoe UI"/>
                <w:color w:val="4F81BD"/>
                <w:sz w:val="21"/>
                <w:szCs w:val="21"/>
              </w:rPr>
              <w:t>NCS</w:t>
            </w:r>
            <w:r w:rsidRPr="0016102C">
              <w:rPr>
                <w:rFonts w:cs="Segoe UI"/>
                <w:color w:val="4F81BD"/>
                <w:sz w:val="21"/>
                <w:szCs w:val="21"/>
              </w:rPr>
              <w:t>)</w:t>
            </w:r>
            <w:bookmarkEnd w:id="5"/>
          </w:p>
        </w:tc>
      </w:tr>
      <w:tr w:rsidR="00385816" w:rsidRPr="0016102C" w:rsidTr="009076C9">
        <w:trPr>
          <w:trHeight w:val="278"/>
          <w:jc w:val="center"/>
        </w:trPr>
        <w:tc>
          <w:tcPr>
            <w:tcW w:w="6095" w:type="dxa"/>
            <w:shd w:val="clear" w:color="auto" w:fill="auto"/>
            <w:vAlign w:val="center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b/>
                <w:color w:val="000000"/>
                <w:sz w:val="18"/>
                <w:szCs w:val="18"/>
              </w:rPr>
              <w:t>0. Prerequisites of quality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b/>
                <w:color w:val="000000"/>
                <w:sz w:val="18"/>
                <w:szCs w:val="18"/>
              </w:rPr>
              <w:t>1. Assurances of integrity</w:t>
            </w:r>
          </w:p>
        </w:tc>
      </w:tr>
      <w:tr w:rsidR="00385816" w:rsidRPr="0016102C" w:rsidTr="009076C9">
        <w:trPr>
          <w:trHeight w:val="1932"/>
          <w:jc w:val="center"/>
        </w:trPr>
        <w:tc>
          <w:tcPr>
            <w:tcW w:w="6095" w:type="dxa"/>
            <w:shd w:val="clear" w:color="auto" w:fill="auto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8214360</wp:posOffset>
                      </wp:positionH>
                      <wp:positionV relativeFrom="paragraph">
                        <wp:posOffset>-488315</wp:posOffset>
                      </wp:positionV>
                      <wp:extent cx="330200" cy="6517640"/>
                      <wp:effectExtent l="2540" t="3810" r="635" b="31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651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5816" w:rsidRPr="00A669BE" w:rsidRDefault="0094003C" w:rsidP="0038581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  <w:tab w:val="right" w:pos="2430"/>
                                    </w:tabs>
                                    <w:wordWrap w:val="0"/>
                                    <w:ind w:right="29"/>
                                    <w:jc w:val="right"/>
                                    <w:rPr>
                                      <w:rFonts w:cs="Segoe UI"/>
                                      <w:cap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Segoe UI"/>
                                      <w:caps/>
                                      <w:color w:val="4B82AD"/>
                                      <w:sz w:val="18"/>
                                      <w:szCs w:val="18"/>
                                      <w:lang w:val="fr-FR"/>
                                    </w:rPr>
                                    <w:t>Erehwon</w:t>
                                  </w:r>
                                </w:p>
                                <w:p w:rsidR="00385816" w:rsidRDefault="00385816" w:rsidP="00385816"/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46.8pt;margin-top:-38.45pt;width:26pt;height:5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" stroked="f">
                      <v:textbox style="layout-flow:vertical" inset="5.85pt,.7pt,5.85pt,.7pt">
                        <w:txbxContent>
                          <w:p w:rsidR="00385816" w:rsidRPr="00A669BE" w:rsidRDefault="0094003C" w:rsidP="0038581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2430"/>
                              </w:tabs>
                              <w:wordWrap w:val="0"/>
                              <w:ind w:right="29"/>
                              <w:jc w:val="right"/>
                              <w:rPr>
                                <w:rFonts w:cs="Segoe UI"/>
                                <w:caps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Segoe UI"/>
                                <w:caps/>
                                <w:color w:val="4B82AD"/>
                                <w:sz w:val="18"/>
                                <w:szCs w:val="18"/>
                                <w:lang w:val="fr-FR"/>
                              </w:rPr>
                              <w:t>Erehwon</w:t>
                            </w:r>
                          </w:p>
                          <w:p w:rsidR="00385816" w:rsidRDefault="00385816" w:rsidP="00385816"/>
                        </w:txbxContent>
                      </v:textbox>
                    </v:shape>
                  </w:pict>
                </mc:Fallback>
              </mc:AlternateContent>
            </w:r>
            <w:r w:rsidRPr="0016102C">
              <w:rPr>
                <w:rFonts w:cs="Segoe UI"/>
                <w:b/>
                <w:bCs/>
                <w:color w:val="000000"/>
                <w:sz w:val="18"/>
                <w:szCs w:val="18"/>
              </w:rPr>
              <w:t>Legal and institutional environment</w:t>
            </w:r>
          </w:p>
          <w:p w:rsidR="00385816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Royal Decree No. </w:t>
            </w:r>
            <w:r w:rsidR="00494702">
              <w:rPr>
                <w:rFonts w:cs="Segoe UI"/>
                <w:color w:val="000000"/>
                <w:sz w:val="18"/>
                <w:szCs w:val="18"/>
              </w:rPr>
              <w:t>15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>/201</w:t>
            </w:r>
            <w:r w:rsidR="005A7086">
              <w:rPr>
                <w:rFonts w:cs="Segoe UI"/>
                <w:color w:val="000000"/>
                <w:sz w:val="18"/>
                <w:szCs w:val="18"/>
              </w:rPr>
              <w:t>4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establishes the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NCS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as an autonomous national statistics office while the historical </w:t>
            </w:r>
            <w:r w:rsidRPr="0016102C">
              <w:rPr>
                <w:rFonts w:cs="Segoe UI"/>
                <w:i/>
                <w:color w:val="000000"/>
                <w:sz w:val="18"/>
                <w:szCs w:val="18"/>
              </w:rPr>
              <w:t>Statistical Law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(Royal Decree No. 29/2001) establishes the authority for coordination, collection, processing, and disseminating national statistics in </w:t>
            </w:r>
            <w:proofErr w:type="spellStart"/>
            <w:r w:rsidR="0094003C">
              <w:rPr>
                <w:rFonts w:cs="Segoe UI"/>
                <w:color w:val="000000"/>
                <w:sz w:val="18"/>
                <w:szCs w:val="18"/>
              </w:rPr>
              <w:t>Erehwon</w:t>
            </w:r>
            <w:proofErr w:type="spellEnd"/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. Amendments are required to vest the </w:t>
            </w:r>
            <w:r w:rsidRPr="0016102C">
              <w:rPr>
                <w:rFonts w:cs="Segoe UI"/>
                <w:i/>
                <w:color w:val="000000"/>
                <w:sz w:val="18"/>
                <w:szCs w:val="18"/>
              </w:rPr>
              <w:t>Statistical Law’s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authority within the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NCS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as no effective </w:t>
            </w:r>
            <w:r w:rsidRPr="0016102C">
              <w:rPr>
                <w:rFonts w:cs="Segoe UI"/>
                <w:i/>
                <w:color w:val="000000"/>
                <w:sz w:val="18"/>
                <w:szCs w:val="18"/>
              </w:rPr>
              <w:t>Statistical Law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currently exists. Data </w:t>
            </w:r>
            <w:proofErr w:type="gramStart"/>
            <w:r w:rsidRPr="0016102C">
              <w:rPr>
                <w:rFonts w:cs="Segoe UI"/>
                <w:color w:val="000000"/>
                <w:sz w:val="18"/>
                <w:szCs w:val="18"/>
              </w:rPr>
              <w:t>sharing</w:t>
            </w:r>
            <w:proofErr w:type="gramEnd"/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and coordination is largely adequate and functions due to informal relationship</w:t>
            </w:r>
            <w:r>
              <w:rPr>
                <w:rFonts w:cs="Segoe UI"/>
                <w:color w:val="000000"/>
                <w:sz w:val="18"/>
                <w:szCs w:val="18"/>
              </w:rPr>
              <w:t>s without formal documentation.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The mission observed the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NCS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>’s compliance with its legal obligations and work undertaken to encourage effective statistical reporting by respondents. Further work is recommended to improve reporting respondent bu</w:t>
            </w:r>
            <w:r>
              <w:rPr>
                <w:rFonts w:cs="Segoe UI"/>
                <w:color w:val="000000"/>
                <w:sz w:val="18"/>
                <w:szCs w:val="18"/>
              </w:rPr>
              <w:t>rden to inform future planning.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b/>
                <w:bCs/>
                <w:color w:val="000000"/>
                <w:sz w:val="18"/>
                <w:szCs w:val="18"/>
              </w:rPr>
              <w:t>Resources</w:t>
            </w:r>
          </w:p>
          <w:p w:rsidR="00385816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Staff, facilities, computing resources, and financing are commensurate with the current statistical program. Further resources from government are required to expand the national accounts to meet future policy analysis. The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NCS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is developing appropriate Key Performance Indicators (KPIs) to improve staff performance.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b/>
                <w:bCs/>
                <w:color w:val="000000"/>
                <w:sz w:val="18"/>
                <w:szCs w:val="18"/>
              </w:rPr>
              <w:t>Relevance</w:t>
            </w:r>
          </w:p>
          <w:p w:rsidR="00385816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The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NCS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actively engages with government and regional users such as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NCC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>-Stat. There is minimal consultation with key users outside of government. The mission recommends establishment of a representative user advisory grou</w:t>
            </w:r>
            <w:r>
              <w:rPr>
                <w:rFonts w:cs="Segoe UI"/>
                <w:color w:val="000000"/>
                <w:sz w:val="18"/>
                <w:szCs w:val="18"/>
              </w:rPr>
              <w:t>p for macroeconomic statistics.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b/>
                <w:bCs/>
                <w:color w:val="000000"/>
                <w:sz w:val="18"/>
                <w:szCs w:val="18"/>
              </w:rPr>
              <w:t>Other quality management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9803E0">
              <w:rPr>
                <w:rFonts w:cs="Segoe UI"/>
                <w:color w:val="000000"/>
                <w:sz w:val="18"/>
                <w:szCs w:val="18"/>
              </w:rPr>
              <w:t>Quality is managed via existing informal relationships and minimal formal management information and material is available.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No training </w:t>
            </w:r>
            <w:proofErr w:type="gramStart"/>
            <w:r>
              <w:rPr>
                <w:rFonts w:cs="Segoe UI"/>
                <w:color w:val="000000"/>
                <w:sz w:val="18"/>
                <w:szCs w:val="18"/>
              </w:rPr>
              <w:t>program</w:t>
            </w:r>
            <w:proofErr w:type="gramEnd"/>
            <w:r>
              <w:rPr>
                <w:rFonts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bCs/>
                <w:color w:val="000000"/>
                <w:sz w:val="18"/>
                <w:szCs w:val="18"/>
              </w:rPr>
              <w:t>Institutional integrity</w:t>
            </w:r>
          </w:p>
          <w:p w:rsidR="00385816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Royal Decree No. </w:t>
            </w:r>
            <w:r w:rsidR="005A7086">
              <w:rPr>
                <w:rFonts w:cs="Segoe UI"/>
                <w:color w:val="000000"/>
                <w:sz w:val="18"/>
                <w:szCs w:val="18"/>
              </w:rPr>
              <w:t>15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>/201</w:t>
            </w:r>
            <w:r w:rsidR="005A7086">
              <w:rPr>
                <w:rFonts w:cs="Segoe UI"/>
                <w:color w:val="000000"/>
                <w:sz w:val="18"/>
                <w:szCs w:val="18"/>
              </w:rPr>
              <w:t>4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supports professional independence by establishing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NCS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as an autonomous statistical agency. Staff are appointed based on merits and capabilities. The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NCS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agency head (Executive Director) is appointed by the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President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="0094003C">
              <w:rPr>
                <w:rFonts w:cs="Segoe UI"/>
                <w:color w:val="000000"/>
                <w:sz w:val="18"/>
                <w:szCs w:val="18"/>
              </w:rPr>
              <w:t>Erehwon</w:t>
            </w:r>
            <w:proofErr w:type="spellEnd"/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and established via a Royal Decree. The choice of data sources is based on statistical considerations only, and statistics are disseminated according to their availability.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b/>
                <w:bCs/>
                <w:color w:val="000000"/>
                <w:sz w:val="18"/>
                <w:szCs w:val="18"/>
              </w:rPr>
              <w:t>Transparency</w:t>
            </w:r>
          </w:p>
          <w:p w:rsidR="00385816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The historical </w:t>
            </w:r>
            <w:r w:rsidRPr="0016102C">
              <w:rPr>
                <w:rFonts w:cs="Segoe UI"/>
                <w:i/>
                <w:color w:val="000000"/>
                <w:sz w:val="18"/>
                <w:szCs w:val="18"/>
              </w:rPr>
              <w:t>Statistical Law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is available upon request in hardcopy, both in Arabic and English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; however, the 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Statistical Law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does not apply to the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NCS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. All publications clearly identify the </w:t>
            </w:r>
            <w:r w:rsidR="00AA24AB">
              <w:rPr>
                <w:rFonts w:cs="Segoe UI"/>
                <w:color w:val="000000"/>
                <w:sz w:val="18"/>
                <w:szCs w:val="18"/>
              </w:rPr>
              <w:t>NCS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as the source, and there is a small volume of government access to statistics prior to public release, of which the public is not informed. Advance notice is given of significant </w:t>
            </w:r>
            <w:r w:rsidRPr="009803E0">
              <w:rPr>
                <w:rFonts w:cs="Segoe UI"/>
                <w:color w:val="000000"/>
                <w:sz w:val="18"/>
                <w:szCs w:val="18"/>
              </w:rPr>
              <w:t>changes to the statistics.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b/>
                <w:bCs/>
                <w:color w:val="000000"/>
                <w:sz w:val="18"/>
                <w:szCs w:val="18"/>
              </w:rPr>
              <w:t>Ethical standards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Staff behavior is guided by the rules and regulations of the </w:t>
            </w:r>
            <w:proofErr w:type="spellStart"/>
            <w:r w:rsidR="0094003C">
              <w:rPr>
                <w:rFonts w:cs="Segoe UI"/>
                <w:color w:val="000000"/>
                <w:sz w:val="18"/>
                <w:szCs w:val="18"/>
              </w:rPr>
              <w:t>Erehwon</w:t>
            </w:r>
            <w:proofErr w:type="spellEnd"/>
            <w:r w:rsidRPr="0016102C">
              <w:rPr>
                <w:rFonts w:cs="Segoe UI"/>
                <w:color w:val="000000"/>
                <w:sz w:val="18"/>
                <w:szCs w:val="18"/>
              </w:rPr>
              <w:t xml:space="preserve"> civil service. </w:t>
            </w:r>
            <w:r w:rsidRPr="009803E0">
              <w:rPr>
                <w:rFonts w:cs="Segoe UI"/>
                <w:color w:val="000000"/>
                <w:sz w:val="18"/>
                <w:szCs w:val="18"/>
              </w:rPr>
              <w:t xml:space="preserve">Royal Decrees No. </w:t>
            </w:r>
            <w:r w:rsidR="005A7086">
              <w:rPr>
                <w:rFonts w:cs="Segoe UI"/>
                <w:color w:val="000000"/>
                <w:sz w:val="18"/>
                <w:szCs w:val="18"/>
              </w:rPr>
              <w:t>2</w:t>
            </w:r>
            <w:r w:rsidRPr="009803E0">
              <w:rPr>
                <w:rFonts w:cs="Segoe UI"/>
                <w:color w:val="000000"/>
                <w:sz w:val="18"/>
                <w:szCs w:val="18"/>
              </w:rPr>
              <w:t>01/9</w:t>
            </w:r>
            <w:r w:rsidR="005A7086">
              <w:rPr>
                <w:rFonts w:cs="Segoe UI"/>
                <w:color w:val="000000"/>
                <w:sz w:val="18"/>
                <w:szCs w:val="18"/>
              </w:rPr>
              <w:t>9</w:t>
            </w:r>
            <w:r w:rsidRPr="009803E0">
              <w:rPr>
                <w:rFonts w:cs="Segoe UI"/>
                <w:color w:val="000000"/>
                <w:sz w:val="18"/>
                <w:szCs w:val="18"/>
              </w:rPr>
              <w:t xml:space="preserve"> and </w:t>
            </w:r>
            <w:r w:rsidR="005A7086">
              <w:rPr>
                <w:rFonts w:cs="Segoe UI"/>
                <w:color w:val="000000"/>
                <w:sz w:val="18"/>
                <w:szCs w:val="18"/>
              </w:rPr>
              <w:t>4</w:t>
            </w:r>
            <w:r w:rsidRPr="009803E0">
              <w:rPr>
                <w:rFonts w:cs="Segoe UI"/>
                <w:color w:val="000000"/>
                <w:sz w:val="18"/>
                <w:szCs w:val="18"/>
              </w:rPr>
              <w:t>9/8</w:t>
            </w:r>
            <w:r w:rsidR="005A7086">
              <w:rPr>
                <w:rFonts w:cs="Segoe UI"/>
                <w:color w:val="000000"/>
                <w:sz w:val="18"/>
                <w:szCs w:val="18"/>
              </w:rPr>
              <w:t>0</w:t>
            </w:r>
            <w:r w:rsidRPr="009803E0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16102C">
              <w:rPr>
                <w:rFonts w:cs="Segoe UI"/>
                <w:color w:val="000000"/>
                <w:sz w:val="18"/>
                <w:szCs w:val="18"/>
              </w:rPr>
              <w:t>establish terms and conditions for the conduct of staff, and specify sanctions for participation in political events etc. Penalties include salary deductions and/or dismissal. There are no formal procedures for staff to encourage the adoption of these rules, such as signing a corresponding undertaking.</w:t>
            </w:r>
          </w:p>
        </w:tc>
      </w:tr>
    </w:tbl>
    <w:p w:rsidR="005F722E" w:rsidRDefault="005F722E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tbl>
      <w:tblPr>
        <w:tblW w:w="12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3408"/>
        <w:gridCol w:w="2687"/>
        <w:gridCol w:w="3048"/>
      </w:tblGrid>
      <w:tr w:rsidR="00385816" w:rsidRPr="0016102C" w:rsidTr="009076C9">
        <w:trPr>
          <w:trHeight w:val="348"/>
          <w:jc w:val="center"/>
        </w:trPr>
        <w:tc>
          <w:tcPr>
            <w:tcW w:w="12190" w:type="dxa"/>
            <w:gridSpan w:val="4"/>
            <w:shd w:val="clear" w:color="auto" w:fill="auto"/>
            <w:vAlign w:val="center"/>
          </w:tcPr>
          <w:bookmarkStart w:id="9" w:name="_Toc378949501"/>
          <w:bookmarkStart w:id="10" w:name="_Toc378949805"/>
          <w:bookmarkStart w:id="11" w:name="_Toc378950178"/>
          <w:bookmarkStart w:id="12" w:name="_Toc378950429"/>
          <w:bookmarkStart w:id="13" w:name="_Toc403810963"/>
          <w:p w:rsidR="00385816" w:rsidRPr="0016102C" w:rsidRDefault="00385816" w:rsidP="009076C9">
            <w:pPr>
              <w:pStyle w:val="Heading3"/>
              <w:spacing w:after="60" w:line="240" w:lineRule="auto"/>
              <w:jc w:val="center"/>
              <w:rPr>
                <w:rFonts w:cs="Segoe UI"/>
                <w:sz w:val="21"/>
                <w:szCs w:val="21"/>
              </w:rPr>
            </w:pPr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fldChar w:fldCharType="begin"/>
            </w:r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instrText xml:space="preserve"> TC "</w:instrText>
            </w:r>
            <w:bookmarkStart w:id="14" w:name="_Toc405450115"/>
            <w:bookmarkStart w:id="15" w:name="_Toc409002246"/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instrText xml:space="preserve">3a. </w:instrText>
            </w:r>
            <w:r>
              <w:rPr>
                <w:rFonts w:cs="Segoe UI"/>
                <w:b w:val="0"/>
                <w:color w:val="4F81BD"/>
                <w:sz w:val="21"/>
                <w:szCs w:val="21"/>
              </w:rPr>
              <w:instrText xml:space="preserve">   </w:instrText>
            </w:r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instrText>Assessment of Data Quality—Dimensions 2 and 5—National Accounts</w:instrText>
            </w:r>
            <w:bookmarkEnd w:id="14"/>
            <w:bookmarkEnd w:id="15"/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cr/>
              <w:instrText xml:space="preserve">"\f B </w:instrText>
            </w:r>
            <w:r w:rsidRPr="0016102C">
              <w:rPr>
                <w:rFonts w:cs="Segoe UI"/>
                <w:b w:val="0"/>
                <w:color w:val="4F81BD"/>
                <w:sz w:val="21"/>
                <w:szCs w:val="21"/>
              </w:rPr>
              <w:fldChar w:fldCharType="end"/>
            </w:r>
            <w:r w:rsidRPr="0016102C">
              <w:rPr>
                <w:rFonts w:cs="Segoe UI"/>
                <w:color w:val="4F81BD"/>
                <w:sz w:val="21"/>
                <w:szCs w:val="21"/>
              </w:rPr>
              <w:t xml:space="preserve">Table 3a. </w:t>
            </w:r>
            <w:proofErr w:type="spellStart"/>
            <w:r w:rsidR="0094003C">
              <w:rPr>
                <w:rFonts w:cs="Segoe UI"/>
                <w:color w:val="4F81BD"/>
                <w:sz w:val="21"/>
                <w:szCs w:val="21"/>
              </w:rPr>
              <w:t>Erehwon</w:t>
            </w:r>
            <w:proofErr w:type="spellEnd"/>
            <w:r>
              <w:rPr>
                <w:rFonts w:cs="Segoe UI"/>
                <w:color w:val="4F81BD"/>
                <w:sz w:val="21"/>
                <w:szCs w:val="21"/>
              </w:rPr>
              <w:t xml:space="preserve">: </w:t>
            </w:r>
            <w:r w:rsidRPr="0016102C">
              <w:rPr>
                <w:rFonts w:cs="Segoe UI"/>
                <w:color w:val="4F81BD"/>
                <w:sz w:val="21"/>
                <w:szCs w:val="21"/>
              </w:rPr>
              <w:t>Assessment of Data Quality—Dimensions 2 and 5—National Accounts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385816" w:rsidRPr="0016102C" w:rsidTr="009076C9">
        <w:trPr>
          <w:trHeight w:val="278"/>
          <w:jc w:val="center"/>
        </w:trPr>
        <w:tc>
          <w:tcPr>
            <w:tcW w:w="3047" w:type="dxa"/>
            <w:shd w:val="clear" w:color="auto" w:fill="auto"/>
            <w:vAlign w:val="center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color w:val="000000"/>
                <w:sz w:val="17"/>
                <w:szCs w:val="17"/>
              </w:rPr>
              <w:t>2. Methodological soundness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color w:val="000000"/>
                <w:sz w:val="17"/>
                <w:szCs w:val="17"/>
              </w:rPr>
              <w:t>3. Accuracy and reliability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sz w:val="17"/>
                <w:szCs w:val="17"/>
              </w:rPr>
              <w:t>4. Serviceability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color w:val="000000"/>
                <w:sz w:val="17"/>
                <w:szCs w:val="17"/>
              </w:rPr>
              <w:t>5. Accessibility</w:t>
            </w:r>
          </w:p>
        </w:tc>
      </w:tr>
      <w:tr w:rsidR="00385816" w:rsidRPr="0016102C" w:rsidTr="009076C9">
        <w:trPr>
          <w:trHeight w:val="1932"/>
          <w:jc w:val="center"/>
        </w:trPr>
        <w:tc>
          <w:tcPr>
            <w:tcW w:w="3047" w:type="dxa"/>
            <w:shd w:val="clear" w:color="auto" w:fill="auto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Concepts and definitions</w:t>
            </w:r>
          </w:p>
          <w:p w:rsidR="00385816" w:rsidRPr="00C642AE" w:rsidRDefault="00385816" w:rsidP="009076C9">
            <w:pPr>
              <w:spacing w:line="240" w:lineRule="auto"/>
              <w:rPr>
                <w:rFonts w:cs="Segoe UI"/>
                <w:i/>
                <w:color w:val="000000"/>
                <w:sz w:val="17"/>
                <w:szCs w:val="17"/>
              </w:rPr>
            </w:pPr>
            <w:r w:rsidRPr="009803E0">
              <w:rPr>
                <w:rFonts w:cs="Segoe UI"/>
                <w:color w:val="000000"/>
                <w:sz w:val="17"/>
                <w:szCs w:val="17"/>
              </w:rPr>
              <w:t xml:space="preserve">The national accounts statistics are compiled according to the </w:t>
            </w:r>
            <w:r w:rsidRPr="009803E0">
              <w:rPr>
                <w:rFonts w:cs="Segoe UI"/>
                <w:i/>
                <w:color w:val="000000"/>
                <w:sz w:val="17"/>
                <w:szCs w:val="17"/>
              </w:rPr>
              <w:t>1993 SNA</w:t>
            </w:r>
            <w:r w:rsidRPr="009803E0">
              <w:rPr>
                <w:rFonts w:cs="Segoe UI"/>
                <w:color w:val="000000"/>
                <w:sz w:val="17"/>
                <w:szCs w:val="17"/>
              </w:rPr>
              <w:t xml:space="preserve">. </w:t>
            </w:r>
            <w:r>
              <w:rPr>
                <w:rFonts w:cs="Segoe UI"/>
                <w:color w:val="000000"/>
                <w:sz w:val="17"/>
                <w:szCs w:val="17"/>
              </w:rPr>
              <w:t xml:space="preserve">The </w:t>
            </w:r>
            <w:r w:rsidR="00AA24AB">
              <w:rPr>
                <w:rFonts w:cs="Segoe UI"/>
                <w:color w:val="000000"/>
                <w:sz w:val="17"/>
                <w:szCs w:val="17"/>
              </w:rPr>
              <w:t>NCS</w:t>
            </w:r>
            <w:r>
              <w:rPr>
                <w:rFonts w:cs="Segoe UI"/>
                <w:color w:val="000000"/>
                <w:sz w:val="17"/>
                <w:szCs w:val="17"/>
              </w:rPr>
              <w:t xml:space="preserve"> is currently developing plans for implementation of the </w:t>
            </w:r>
            <w:r w:rsidRPr="00C642AE">
              <w:rPr>
                <w:rFonts w:cs="Segoe UI"/>
                <w:i/>
                <w:color w:val="000000"/>
                <w:sz w:val="17"/>
                <w:szCs w:val="17"/>
              </w:rPr>
              <w:t>2008 SNA.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Scope</w:t>
            </w:r>
          </w:p>
          <w:p w:rsidR="00385816" w:rsidRPr="009803E0" w:rsidRDefault="0094003C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proofErr w:type="spellStart"/>
            <w:r>
              <w:rPr>
                <w:rFonts w:cs="Segoe UI"/>
                <w:color w:val="000000"/>
                <w:sz w:val="17"/>
                <w:szCs w:val="17"/>
              </w:rPr>
              <w:t>Erehwon</w:t>
            </w:r>
            <w:r w:rsidR="00385816" w:rsidRPr="009803E0">
              <w:rPr>
                <w:rFonts w:cs="Segoe UI"/>
                <w:color w:val="000000"/>
                <w:sz w:val="17"/>
                <w:szCs w:val="17"/>
              </w:rPr>
              <w:t>’s</w:t>
            </w:r>
            <w:proofErr w:type="spellEnd"/>
            <w:r w:rsidR="00385816" w:rsidRPr="009803E0">
              <w:rPr>
                <w:rFonts w:cs="Segoe UI"/>
                <w:color w:val="000000"/>
                <w:sz w:val="17"/>
                <w:szCs w:val="17"/>
              </w:rPr>
              <w:t xml:space="preserve"> national accounts comprise a subset of the </w:t>
            </w:r>
            <w:r w:rsidR="00385816" w:rsidRPr="009803E0">
              <w:rPr>
                <w:rFonts w:cs="Segoe UI"/>
                <w:i/>
                <w:color w:val="000000"/>
                <w:sz w:val="17"/>
                <w:szCs w:val="17"/>
              </w:rPr>
              <w:t>minimum requirement</w:t>
            </w:r>
            <w:r w:rsidR="00385816" w:rsidRPr="009803E0">
              <w:rPr>
                <w:rFonts w:cs="Segoe UI"/>
                <w:color w:val="000000"/>
                <w:sz w:val="17"/>
                <w:szCs w:val="17"/>
              </w:rPr>
              <w:t xml:space="preserve"> specified by ISWGNA. Documentation outlining deviations from the international standard is not available.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Classification/sectorization</w:t>
            </w:r>
          </w:p>
          <w:p w:rsidR="00385816" w:rsidRDefault="00385816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r w:rsidRPr="009803E0">
              <w:rPr>
                <w:rFonts w:cs="Segoe UI"/>
                <w:color w:val="000000"/>
                <w:sz w:val="17"/>
                <w:szCs w:val="17"/>
              </w:rPr>
              <w:t xml:space="preserve">The </w:t>
            </w:r>
            <w:r>
              <w:rPr>
                <w:rFonts w:cs="Segoe UI"/>
                <w:color w:val="000000"/>
                <w:sz w:val="17"/>
                <w:szCs w:val="17"/>
              </w:rPr>
              <w:t xml:space="preserve">elemental </w:t>
            </w:r>
            <w:r w:rsidRPr="009803E0">
              <w:rPr>
                <w:rFonts w:cs="Segoe UI"/>
                <w:color w:val="000000"/>
                <w:sz w:val="17"/>
                <w:szCs w:val="17"/>
              </w:rPr>
              <w:t>classification</w:t>
            </w:r>
            <w:r>
              <w:rPr>
                <w:rFonts w:cs="Segoe UI"/>
                <w:color w:val="000000"/>
                <w:sz w:val="17"/>
                <w:szCs w:val="17"/>
              </w:rPr>
              <w:t xml:space="preserve">s underpinning </w:t>
            </w:r>
            <w:proofErr w:type="spellStart"/>
            <w:r w:rsidR="0094003C">
              <w:rPr>
                <w:rFonts w:cs="Segoe UI"/>
                <w:color w:val="000000"/>
                <w:sz w:val="17"/>
                <w:szCs w:val="17"/>
              </w:rPr>
              <w:t>Erehwon</w:t>
            </w:r>
            <w:r>
              <w:rPr>
                <w:rFonts w:cs="Segoe UI"/>
                <w:color w:val="000000"/>
                <w:sz w:val="17"/>
                <w:szCs w:val="17"/>
              </w:rPr>
              <w:t>’s</w:t>
            </w:r>
            <w:proofErr w:type="spellEnd"/>
            <w:r>
              <w:rPr>
                <w:rFonts w:cs="Segoe UI"/>
                <w:color w:val="000000"/>
                <w:sz w:val="17"/>
                <w:szCs w:val="17"/>
              </w:rPr>
              <w:t xml:space="preserve"> national accounts are consistent with historical versions of international standards. The mission understands deviations from the international reference classifications are minimal.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Basis for recording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color w:val="000000"/>
                <w:sz w:val="17"/>
                <w:szCs w:val="17"/>
              </w:rPr>
              <w:t>Most transactions are recorded on a basis consist</w:t>
            </w:r>
            <w:r>
              <w:rPr>
                <w:rFonts w:cs="Segoe UI"/>
                <w:color w:val="000000"/>
                <w:sz w:val="17"/>
                <w:szCs w:val="17"/>
              </w:rPr>
              <w:t>ent</w:t>
            </w:r>
            <w:r w:rsidRPr="0016102C">
              <w:rPr>
                <w:rFonts w:cs="Segoe UI"/>
                <w:color w:val="000000"/>
                <w:sz w:val="17"/>
                <w:szCs w:val="17"/>
              </w:rPr>
              <w:t xml:space="preserve"> with the </w:t>
            </w:r>
            <w:r w:rsidRPr="0016102C">
              <w:rPr>
                <w:rFonts w:cs="Segoe UI"/>
                <w:i/>
                <w:color w:val="000000"/>
                <w:sz w:val="17"/>
                <w:szCs w:val="17"/>
              </w:rPr>
              <w:t xml:space="preserve">2008 </w:t>
            </w:r>
            <w:r w:rsidRPr="00A41379">
              <w:rPr>
                <w:rFonts w:cs="Segoe UI"/>
                <w:i/>
                <w:color w:val="000000"/>
                <w:sz w:val="17"/>
                <w:szCs w:val="17"/>
              </w:rPr>
              <w:t>SNA</w:t>
            </w:r>
            <w:r w:rsidRPr="0016102C">
              <w:rPr>
                <w:rFonts w:cs="Segoe UI"/>
                <w:color w:val="000000"/>
                <w:sz w:val="17"/>
                <w:szCs w:val="17"/>
              </w:rPr>
              <w:t>. Transactions involving general government are derived from GFS which is cash based.</w:t>
            </w:r>
          </w:p>
        </w:tc>
        <w:tc>
          <w:tcPr>
            <w:tcW w:w="3408" w:type="dxa"/>
            <w:shd w:val="clear" w:color="auto" w:fill="auto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Segoe UI"/>
                <w:b/>
                <w:bCs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6279515</wp:posOffset>
                      </wp:positionH>
                      <wp:positionV relativeFrom="paragraph">
                        <wp:posOffset>-488315</wp:posOffset>
                      </wp:positionV>
                      <wp:extent cx="330200" cy="6517640"/>
                      <wp:effectExtent l="2540" t="3810" r="635" b="31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651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5816" w:rsidRPr="00A669BE" w:rsidRDefault="0094003C" w:rsidP="00385816">
                                  <w:pPr>
                                    <w:tabs>
                                      <w:tab w:val="left" w:pos="1980"/>
                                      <w:tab w:val="left" w:pos="2250"/>
                                    </w:tabs>
                                    <w:rPr>
                                      <w:rFonts w:cs="Segoe UI"/>
                                      <w:cap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Segoe UI"/>
                                      <w:caps/>
                                      <w:color w:val="4B82AD"/>
                                      <w:sz w:val="18"/>
                                      <w:szCs w:val="18"/>
                                      <w:lang w:val="fr-FR"/>
                                    </w:rPr>
                                    <w:t>Erehwon</w:t>
                                  </w:r>
                                </w:p>
                                <w:p w:rsidR="00385816" w:rsidRDefault="00385816" w:rsidP="00385816"/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494.45pt;margin-top:-38.45pt;width:26pt;height:5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" stroked="f">
                      <v:textbox style="layout-flow:vertical" inset="5.85pt,.7pt,5.85pt,.7pt">
                        <w:txbxContent>
                          <w:p w:rsidR="00385816" w:rsidRPr="00A669BE" w:rsidRDefault="0094003C" w:rsidP="00385816">
                            <w:pPr>
                              <w:tabs>
                                <w:tab w:val="left" w:pos="1980"/>
                                <w:tab w:val="left" w:pos="2250"/>
                              </w:tabs>
                              <w:rPr>
                                <w:rFonts w:cs="Segoe UI"/>
                                <w:caps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Segoe UI"/>
                                <w:caps/>
                                <w:color w:val="4B82AD"/>
                                <w:sz w:val="18"/>
                                <w:szCs w:val="18"/>
                                <w:lang w:val="fr-FR"/>
                              </w:rPr>
                              <w:t>Erehwon</w:t>
                            </w:r>
                          </w:p>
                          <w:p w:rsidR="00385816" w:rsidRDefault="00385816" w:rsidP="00385816"/>
                        </w:txbxContent>
                      </v:textbox>
                    </v:shape>
                  </w:pict>
                </mc:Fallback>
              </mc:AlternateContent>
            </w: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Source data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color w:val="000000"/>
                <w:sz w:val="17"/>
                <w:szCs w:val="17"/>
              </w:rPr>
              <w:t xml:space="preserve">Source data </w:t>
            </w:r>
            <w:r>
              <w:rPr>
                <w:rFonts w:cs="Segoe UI"/>
                <w:color w:val="000000"/>
                <w:sz w:val="17"/>
                <w:szCs w:val="17"/>
              </w:rPr>
              <w:t>are</w:t>
            </w:r>
            <w:r w:rsidRPr="0016102C">
              <w:rPr>
                <w:rFonts w:cs="Segoe UI"/>
                <w:color w:val="000000"/>
                <w:sz w:val="17"/>
                <w:szCs w:val="17"/>
              </w:rPr>
              <w:t xml:space="preserve"> broadly suitable for compiling national accounts. Government Finance Statistics need to be moved to an accrual basis. The implementation of PPIs for deflating national accounts is a laudable achievement.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Assessment of source data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color w:val="000000"/>
                <w:sz w:val="17"/>
                <w:szCs w:val="17"/>
              </w:rPr>
              <w:t>Accuracy of source data is broadly suitable. Assessment is routinely undertaken.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Statistical techniques</w:t>
            </w:r>
          </w:p>
          <w:p w:rsidR="00385816" w:rsidRPr="009803E0" w:rsidRDefault="00385816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r w:rsidRPr="009803E0">
              <w:rPr>
                <w:rFonts w:cs="Segoe UI"/>
                <w:color w:val="000000"/>
                <w:sz w:val="17"/>
                <w:szCs w:val="17"/>
              </w:rPr>
              <w:t xml:space="preserve">Statistical techniques generally support estimates consistent with </w:t>
            </w:r>
            <w:r w:rsidRPr="009803E0">
              <w:rPr>
                <w:rFonts w:cs="Segoe UI"/>
                <w:i/>
                <w:color w:val="000000"/>
                <w:sz w:val="17"/>
                <w:szCs w:val="17"/>
              </w:rPr>
              <w:t>1993 SNA</w:t>
            </w:r>
            <w:r w:rsidRPr="009803E0">
              <w:rPr>
                <w:rFonts w:cs="Segoe UI"/>
                <w:color w:val="000000"/>
                <w:sz w:val="17"/>
                <w:szCs w:val="17"/>
              </w:rPr>
              <w:t xml:space="preserve">. </w:t>
            </w:r>
            <w:r>
              <w:rPr>
                <w:rFonts w:cs="Segoe UI"/>
                <w:color w:val="000000"/>
                <w:sz w:val="17"/>
                <w:szCs w:val="17"/>
              </w:rPr>
              <w:t xml:space="preserve">The double indicator method is used to derive industry value added in many industries; </w:t>
            </w:r>
            <w:proofErr w:type="gramStart"/>
            <w:r>
              <w:rPr>
                <w:rFonts w:cs="Segoe UI"/>
                <w:color w:val="000000"/>
                <w:sz w:val="17"/>
                <w:szCs w:val="17"/>
              </w:rPr>
              <w:t>however</w:t>
            </w:r>
            <w:proofErr w:type="gramEnd"/>
            <w:r>
              <w:rPr>
                <w:rFonts w:cs="Segoe UI"/>
                <w:color w:val="000000"/>
                <w:sz w:val="17"/>
                <w:szCs w:val="17"/>
              </w:rPr>
              <w:t xml:space="preserve"> the deflation of net taxes on products needs attention.  </w:t>
            </w:r>
            <w:r w:rsidRPr="009803E0">
              <w:rPr>
                <w:rFonts w:cs="Segoe UI"/>
                <w:color w:val="000000"/>
                <w:sz w:val="17"/>
                <w:szCs w:val="17"/>
              </w:rPr>
              <w:t xml:space="preserve">Additional development to support </w:t>
            </w:r>
            <w:r>
              <w:rPr>
                <w:rFonts w:cs="Segoe UI"/>
                <w:color w:val="000000"/>
                <w:sz w:val="17"/>
                <w:szCs w:val="17"/>
              </w:rPr>
              <w:t xml:space="preserve">the </w:t>
            </w:r>
            <w:r w:rsidRPr="009803E0">
              <w:rPr>
                <w:rFonts w:cs="Segoe UI"/>
                <w:i/>
                <w:color w:val="000000"/>
                <w:sz w:val="17"/>
                <w:szCs w:val="17"/>
              </w:rPr>
              <w:t>2008 SNA</w:t>
            </w:r>
            <w:r w:rsidRPr="009803E0">
              <w:rPr>
                <w:rFonts w:cs="Segoe UI"/>
                <w:color w:val="000000"/>
                <w:sz w:val="17"/>
                <w:szCs w:val="17"/>
              </w:rPr>
              <w:t xml:space="preserve"> is required.</w:t>
            </w:r>
            <w:r>
              <w:rPr>
                <w:rFonts w:cs="Segoe UI"/>
                <w:color w:val="000000"/>
                <w:sz w:val="17"/>
                <w:szCs w:val="17"/>
              </w:rPr>
              <w:t xml:space="preserve"> </w:t>
            </w:r>
            <w:r w:rsidRPr="007A7211">
              <w:rPr>
                <w:rFonts w:cs="Segoe UI"/>
                <w:color w:val="000000"/>
                <w:sz w:val="17"/>
                <w:szCs w:val="17"/>
              </w:rPr>
              <w:t>The existing methodology to derive quarterly national accounts should be replaced with the international standard.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Assessment and validation of intermediate data and statistical outputs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color w:val="000000"/>
                <w:sz w:val="17"/>
                <w:szCs w:val="17"/>
              </w:rPr>
              <w:t>Validation of intermediate data and outputs is undertaken and generally suitable. This has improved from the 20</w:t>
            </w:r>
            <w:r w:rsidR="00AD562A">
              <w:rPr>
                <w:rFonts w:cs="Segoe UI"/>
                <w:color w:val="000000"/>
                <w:sz w:val="17"/>
                <w:szCs w:val="17"/>
              </w:rPr>
              <w:t>16</w:t>
            </w:r>
            <w:r w:rsidRPr="0016102C">
              <w:rPr>
                <w:rFonts w:cs="Segoe UI"/>
                <w:color w:val="000000"/>
                <w:sz w:val="17"/>
                <w:szCs w:val="17"/>
              </w:rPr>
              <w:t xml:space="preserve"> ROSC due to the implementation of SUT.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Revision studies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color w:val="000000"/>
                <w:sz w:val="17"/>
                <w:szCs w:val="17"/>
              </w:rPr>
              <w:t xml:space="preserve">No revision studies are currently </w:t>
            </w:r>
            <w:proofErr w:type="gramStart"/>
            <w:r w:rsidRPr="0016102C">
              <w:rPr>
                <w:rFonts w:cs="Segoe UI"/>
                <w:color w:val="000000"/>
                <w:sz w:val="17"/>
                <w:szCs w:val="17"/>
              </w:rPr>
              <w:t>conducted</w:t>
            </w:r>
            <w:proofErr w:type="gramEnd"/>
            <w:r w:rsidRPr="0016102C">
              <w:rPr>
                <w:rFonts w:cs="Segoe UI"/>
                <w:color w:val="000000"/>
                <w:sz w:val="17"/>
                <w:szCs w:val="17"/>
              </w:rPr>
              <w:t xml:space="preserve"> and this should</w:t>
            </w:r>
            <w:r>
              <w:rPr>
                <w:rFonts w:cs="Segoe UI"/>
                <w:color w:val="000000"/>
                <w:sz w:val="17"/>
                <w:szCs w:val="17"/>
              </w:rPr>
              <w:t xml:space="preserve"> be </w:t>
            </w:r>
            <w:r w:rsidRPr="004E7DC3">
              <w:rPr>
                <w:rFonts w:cs="Segoe UI"/>
                <w:color w:val="000000"/>
                <w:sz w:val="17"/>
                <w:szCs w:val="17"/>
              </w:rPr>
              <w:t>addressed.</w:t>
            </w:r>
          </w:p>
        </w:tc>
        <w:tc>
          <w:tcPr>
            <w:tcW w:w="2687" w:type="dxa"/>
            <w:shd w:val="clear" w:color="auto" w:fill="auto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Periodicity and timeliness</w:t>
            </w:r>
          </w:p>
          <w:p w:rsidR="00385816" w:rsidRPr="009803E0" w:rsidRDefault="00385816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r w:rsidRPr="009803E0">
              <w:rPr>
                <w:rFonts w:cs="Segoe UI"/>
                <w:color w:val="000000"/>
                <w:sz w:val="17"/>
                <w:szCs w:val="17"/>
              </w:rPr>
              <w:t xml:space="preserve">The timeliness of </w:t>
            </w:r>
            <w:proofErr w:type="spellStart"/>
            <w:r w:rsidR="0094003C">
              <w:rPr>
                <w:rFonts w:cs="Segoe UI"/>
                <w:color w:val="000000"/>
                <w:sz w:val="17"/>
                <w:szCs w:val="17"/>
              </w:rPr>
              <w:t>Erehwon</w:t>
            </w:r>
            <w:r w:rsidRPr="009803E0">
              <w:rPr>
                <w:rFonts w:cs="Segoe UI"/>
                <w:color w:val="000000"/>
                <w:sz w:val="17"/>
                <w:szCs w:val="17"/>
              </w:rPr>
              <w:t>’s</w:t>
            </w:r>
            <w:proofErr w:type="spellEnd"/>
            <w:r w:rsidRPr="009803E0">
              <w:rPr>
                <w:rFonts w:cs="Segoe UI"/>
                <w:color w:val="000000"/>
                <w:sz w:val="17"/>
                <w:szCs w:val="17"/>
              </w:rPr>
              <w:t xml:space="preserve"> national accounts do</w:t>
            </w:r>
            <w:r>
              <w:rPr>
                <w:rFonts w:cs="Segoe UI"/>
                <w:color w:val="000000"/>
                <w:sz w:val="17"/>
                <w:szCs w:val="17"/>
              </w:rPr>
              <w:t>es</w:t>
            </w:r>
            <w:r w:rsidRPr="009803E0">
              <w:rPr>
                <w:rFonts w:cs="Segoe UI"/>
                <w:color w:val="000000"/>
                <w:sz w:val="17"/>
                <w:szCs w:val="17"/>
              </w:rPr>
              <w:t xml:space="preserve"> not meet the requirements of GDDS (nine months after the reference period) as volume estimates of GDP are first published eleven mon</w:t>
            </w:r>
            <w:r>
              <w:rPr>
                <w:rFonts w:cs="Segoe UI"/>
                <w:color w:val="000000"/>
                <w:sz w:val="17"/>
                <w:szCs w:val="17"/>
              </w:rPr>
              <w:t>ths after the reference period.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Consistency</w:t>
            </w:r>
          </w:p>
          <w:p w:rsidR="00385816" w:rsidRPr="0016102C" w:rsidRDefault="0094003C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proofErr w:type="spellStart"/>
            <w:r>
              <w:rPr>
                <w:rFonts w:cs="Segoe UI"/>
                <w:color w:val="000000"/>
                <w:sz w:val="17"/>
                <w:szCs w:val="17"/>
              </w:rPr>
              <w:t>Erehwon</w:t>
            </w:r>
            <w:r w:rsidR="00385816" w:rsidRPr="0016102C">
              <w:rPr>
                <w:rFonts w:cs="Segoe UI"/>
                <w:color w:val="000000"/>
                <w:sz w:val="17"/>
                <w:szCs w:val="17"/>
              </w:rPr>
              <w:t>’s</w:t>
            </w:r>
            <w:proofErr w:type="spellEnd"/>
            <w:r w:rsidR="00385816" w:rsidRPr="0016102C">
              <w:rPr>
                <w:rFonts w:cs="Segoe UI"/>
                <w:color w:val="000000"/>
                <w:sz w:val="17"/>
                <w:szCs w:val="17"/>
              </w:rPr>
              <w:t xml:space="preserve"> annual national accounts are consistent throughout the published time series commencing in 1998. </w:t>
            </w:r>
            <w:r w:rsidR="00385816" w:rsidRPr="009803E0">
              <w:rPr>
                <w:rFonts w:cs="Segoe UI"/>
                <w:color w:val="000000"/>
                <w:sz w:val="17"/>
                <w:szCs w:val="17"/>
              </w:rPr>
              <w:t>Data can be reconciled with other macroeconomic statistics including balance of payments.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Revision policy and practice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color w:val="000000"/>
                <w:sz w:val="17"/>
                <w:szCs w:val="17"/>
              </w:rPr>
              <w:t>Revisions to national accounts are undertaken according to an established timeframe</w:t>
            </w:r>
            <w:r>
              <w:rPr>
                <w:rFonts w:cs="Segoe UI"/>
                <w:color w:val="000000"/>
                <w:sz w:val="17"/>
                <w:szCs w:val="17"/>
              </w:rPr>
              <w:t>. This timetable should be published</w:t>
            </w:r>
            <w:r w:rsidRPr="0016102C">
              <w:rPr>
                <w:rFonts w:cs="Segoe UI"/>
                <w:color w:val="000000"/>
                <w:sz w:val="17"/>
                <w:szCs w:val="17"/>
              </w:rPr>
              <w:t>. Revision analyses are not undertaken.</w:t>
            </w:r>
          </w:p>
        </w:tc>
        <w:tc>
          <w:tcPr>
            <w:tcW w:w="3048" w:type="dxa"/>
            <w:shd w:val="clear" w:color="auto" w:fill="auto"/>
          </w:tcPr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Data accessibility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color w:val="000000"/>
                <w:sz w:val="17"/>
                <w:szCs w:val="17"/>
              </w:rPr>
              <w:t xml:space="preserve">National accounts are accessible through the </w:t>
            </w:r>
            <w:r w:rsidR="00AA24AB">
              <w:rPr>
                <w:rFonts w:cs="Segoe UI"/>
                <w:color w:val="000000"/>
                <w:sz w:val="17"/>
                <w:szCs w:val="17"/>
              </w:rPr>
              <w:t>NCS</w:t>
            </w:r>
            <w:r w:rsidRPr="0016102C">
              <w:rPr>
                <w:rFonts w:cs="Segoe UI"/>
                <w:color w:val="000000"/>
                <w:sz w:val="17"/>
                <w:szCs w:val="17"/>
              </w:rPr>
              <w:t xml:space="preserve"> website and supported by a </w:t>
            </w:r>
            <w:proofErr w:type="gramStart"/>
            <w:r w:rsidRPr="0016102C">
              <w:rPr>
                <w:rFonts w:cs="Segoe UI"/>
                <w:color w:val="000000"/>
                <w:sz w:val="17"/>
                <w:szCs w:val="17"/>
              </w:rPr>
              <w:t>web based</w:t>
            </w:r>
            <w:proofErr w:type="gramEnd"/>
            <w:r w:rsidRPr="0016102C">
              <w:rPr>
                <w:rFonts w:cs="Segoe UI"/>
                <w:color w:val="000000"/>
                <w:sz w:val="17"/>
                <w:szCs w:val="17"/>
              </w:rPr>
              <w:t xml:space="preserve"> client servicing. </w:t>
            </w:r>
            <w:r w:rsidRPr="007A7211">
              <w:rPr>
                <w:rFonts w:cs="Segoe UI"/>
                <w:color w:val="000000"/>
                <w:sz w:val="17"/>
                <w:szCs w:val="17"/>
              </w:rPr>
              <w:t>Internal government users obtain acce</w:t>
            </w:r>
            <w:r>
              <w:rPr>
                <w:rFonts w:cs="Segoe UI"/>
                <w:color w:val="000000"/>
                <w:sz w:val="17"/>
                <w:szCs w:val="17"/>
              </w:rPr>
              <w:t>s</w:t>
            </w:r>
            <w:r w:rsidRPr="007A7211">
              <w:rPr>
                <w:rFonts w:cs="Segoe UI"/>
                <w:color w:val="000000"/>
                <w:sz w:val="17"/>
                <w:szCs w:val="17"/>
              </w:rPr>
              <w:t>s prior to release. The principles and process for prior access should be published.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Metadata accessibility</w:t>
            </w:r>
          </w:p>
          <w:p w:rsidR="00385816" w:rsidRPr="0016102C" w:rsidRDefault="0094003C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proofErr w:type="spellStart"/>
            <w:r>
              <w:rPr>
                <w:rFonts w:cs="Segoe UI"/>
                <w:color w:val="000000"/>
                <w:sz w:val="17"/>
                <w:szCs w:val="17"/>
              </w:rPr>
              <w:t>Erehwon</w:t>
            </w:r>
            <w:r w:rsidR="00385816" w:rsidRPr="0016102C">
              <w:rPr>
                <w:rFonts w:cs="Segoe UI"/>
                <w:color w:val="000000"/>
                <w:sz w:val="17"/>
                <w:szCs w:val="17"/>
              </w:rPr>
              <w:t>’s</w:t>
            </w:r>
            <w:proofErr w:type="spellEnd"/>
            <w:r w:rsidR="00385816" w:rsidRPr="0016102C">
              <w:rPr>
                <w:rFonts w:cs="Segoe UI"/>
                <w:color w:val="000000"/>
                <w:sz w:val="17"/>
                <w:szCs w:val="17"/>
              </w:rPr>
              <w:t xml:space="preserve"> national accounts include summary detail of data sources, </w:t>
            </w:r>
            <w:r w:rsidR="00385816" w:rsidRPr="009803E0">
              <w:rPr>
                <w:rFonts w:cs="Segoe UI"/>
                <w:color w:val="000000"/>
                <w:sz w:val="17"/>
                <w:szCs w:val="17"/>
              </w:rPr>
              <w:t xml:space="preserve">however detailed information on the methods employed is lacking. </w:t>
            </w:r>
            <w:r w:rsidR="00385816" w:rsidRPr="0016102C">
              <w:rPr>
                <w:rFonts w:cs="Segoe UI"/>
                <w:color w:val="000000"/>
                <w:sz w:val="17"/>
                <w:szCs w:val="17"/>
              </w:rPr>
              <w:t>GDDS metadata requires updating.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b/>
                <w:bCs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b/>
                <w:bCs/>
                <w:color w:val="000000"/>
                <w:sz w:val="17"/>
                <w:szCs w:val="17"/>
              </w:rPr>
              <w:t>Assistance to users</w:t>
            </w:r>
          </w:p>
          <w:p w:rsidR="00385816" w:rsidRPr="0016102C" w:rsidRDefault="00385816" w:rsidP="009076C9">
            <w:pPr>
              <w:spacing w:line="240" w:lineRule="auto"/>
              <w:rPr>
                <w:rFonts w:cs="Segoe UI"/>
                <w:color w:val="000000"/>
                <w:sz w:val="17"/>
                <w:szCs w:val="17"/>
              </w:rPr>
            </w:pPr>
            <w:r w:rsidRPr="0016102C">
              <w:rPr>
                <w:rFonts w:cs="Segoe UI"/>
                <w:color w:val="000000"/>
                <w:sz w:val="17"/>
                <w:szCs w:val="17"/>
              </w:rPr>
              <w:t>Free user assistance is available via the web</w:t>
            </w:r>
            <w:r>
              <w:rPr>
                <w:rFonts w:cs="Segoe UI"/>
                <w:color w:val="000000"/>
                <w:sz w:val="17"/>
                <w:szCs w:val="17"/>
              </w:rPr>
              <w:t>-</w:t>
            </w:r>
            <w:r w:rsidRPr="0016102C">
              <w:rPr>
                <w:rFonts w:cs="Segoe UI"/>
                <w:color w:val="000000"/>
                <w:sz w:val="17"/>
                <w:szCs w:val="17"/>
              </w:rPr>
              <w:t xml:space="preserve">based client service tool. </w:t>
            </w:r>
            <w:r w:rsidRPr="009803E0">
              <w:rPr>
                <w:rFonts w:cs="Segoe UI"/>
                <w:color w:val="000000"/>
                <w:sz w:val="17"/>
                <w:szCs w:val="17"/>
              </w:rPr>
              <w:t>Management information is required to assess the effectiveness of the current arrangements.</w:t>
            </w:r>
          </w:p>
        </w:tc>
      </w:tr>
    </w:tbl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p w:rsidR="00385816" w:rsidRPr="00385816" w:rsidRDefault="00385816" w:rsidP="00385816">
      <w:pPr>
        <w:ind w:left="-1440" w:right="1440"/>
        <w:rPr>
          <w:rFonts w:ascii="Segoe UI" w:hAnsi="Segoe UI" w:cs="Segoe UI"/>
          <w:sz w:val="16"/>
          <w:szCs w:val="16"/>
        </w:rPr>
      </w:pPr>
    </w:p>
    <w:sectPr w:rsidR="00385816" w:rsidRPr="00385816" w:rsidSect="00385816">
      <w:headerReference w:type="default" r:id="rId7"/>
      <w:headerReference w:type="first" r:id="rId8"/>
      <w:pgSz w:w="15840" w:h="12240" w:orient="landscape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35" w:rsidRDefault="00776935" w:rsidP="000B7010">
      <w:pPr>
        <w:spacing w:line="240" w:lineRule="auto"/>
      </w:pPr>
      <w:r>
        <w:separator/>
      </w:r>
    </w:p>
  </w:endnote>
  <w:endnote w:type="continuationSeparator" w:id="0">
    <w:p w:rsidR="00776935" w:rsidRDefault="00776935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35" w:rsidRDefault="00776935" w:rsidP="000B7010">
      <w:pPr>
        <w:spacing w:line="240" w:lineRule="auto"/>
      </w:pPr>
      <w:r>
        <w:separator/>
      </w:r>
    </w:p>
  </w:footnote>
  <w:footnote w:type="continuationSeparator" w:id="0">
    <w:p w:rsidR="00776935" w:rsidRDefault="00776935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2330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B4B" w:rsidRDefault="002A2B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2E" w:rsidRDefault="00FD4DF3" w:rsidP="00FD4DF3">
    <w:pPr>
      <w:pStyle w:val="Header"/>
    </w:pPr>
    <w:r>
      <w:object w:dxaOrig="2541" w:dyaOrig="2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142.8pt" fillcolor="window">
          <v:imagedata r:id="rId1" o:title=""/>
        </v:shape>
        <o:OLEObject Type="Embed" ProgID="Word.Picture.8" ShapeID="_x0000_i1025" DrawAspect="Content" ObjectID="_16188099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F27A0"/>
    <w:multiLevelType w:val="hybridMultilevel"/>
    <w:tmpl w:val="A3F2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16"/>
    <w:rsid w:val="000A1AEE"/>
    <w:rsid w:val="000B7010"/>
    <w:rsid w:val="00107422"/>
    <w:rsid w:val="001D081E"/>
    <w:rsid w:val="00232FB2"/>
    <w:rsid w:val="002A2B4B"/>
    <w:rsid w:val="00325E95"/>
    <w:rsid w:val="003712A7"/>
    <w:rsid w:val="00385816"/>
    <w:rsid w:val="003D2443"/>
    <w:rsid w:val="00451C7E"/>
    <w:rsid w:val="00494702"/>
    <w:rsid w:val="00527B01"/>
    <w:rsid w:val="00531040"/>
    <w:rsid w:val="005A7086"/>
    <w:rsid w:val="005C0460"/>
    <w:rsid w:val="005F722E"/>
    <w:rsid w:val="0060374F"/>
    <w:rsid w:val="0061550F"/>
    <w:rsid w:val="006F658C"/>
    <w:rsid w:val="00776935"/>
    <w:rsid w:val="00804AA8"/>
    <w:rsid w:val="008A3DEB"/>
    <w:rsid w:val="008D2330"/>
    <w:rsid w:val="0094003C"/>
    <w:rsid w:val="009405BC"/>
    <w:rsid w:val="00AA24AB"/>
    <w:rsid w:val="00AD562A"/>
    <w:rsid w:val="00B7537B"/>
    <w:rsid w:val="00CE4A79"/>
    <w:rsid w:val="00D87E53"/>
    <w:rsid w:val="00E7155D"/>
    <w:rsid w:val="00EB5DF9"/>
    <w:rsid w:val="00F03CAD"/>
    <w:rsid w:val="00F078E4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015E95"/>
  <w15:chartTrackingRefBased/>
  <w15:docId w15:val="{62293F74-1BB9-4515-B446-F83F6FAA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8"/>
    <w:unhideWhenUsed/>
    <w:rsid w:val="005F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Kitili, Andrew Ndeti</dc:creator>
  <cp:keywords/>
  <dc:description/>
  <cp:lastModifiedBy>Kitili, Andrew Ndeti</cp:lastModifiedBy>
  <cp:revision>3</cp:revision>
  <dcterms:created xsi:type="dcterms:W3CDTF">2019-05-08T12:29:00Z</dcterms:created>
  <dcterms:modified xsi:type="dcterms:W3CDTF">2019-05-08T12:40:00Z</dcterms:modified>
</cp:coreProperties>
</file>